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-SA"/>
        </w:rPr>
        <w:t>流  标  公  示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项目编号：№ ZB2024ZH08002-1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项目名称：公司2024年度废旧物资出售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流标原因：由于投标人不足三家，此项目第二次流标。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公示时间：2024年4月2日-2024年4月4日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特此公示！</w:t>
      </w:r>
    </w:p>
    <w:p>
      <w:pPr>
        <w:pStyle w:val="4"/>
        <w:spacing w:line="500" w:lineRule="exact"/>
        <w:ind w:firstLine="0"/>
        <w:rPr>
          <w:rFonts w:hint="eastAsia"/>
          <w:sz w:val="28"/>
          <w:szCs w:val="28"/>
        </w:rPr>
      </w:pPr>
    </w:p>
    <w:p>
      <w:pPr>
        <w:pStyle w:val="4"/>
        <w:spacing w:line="500" w:lineRule="exact"/>
        <w:ind w:firstLine="4060" w:firstLineChars="1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水仙药业（建瓯）</w:t>
      </w:r>
      <w:r>
        <w:rPr>
          <w:rFonts w:hint="eastAsia"/>
          <w:sz w:val="28"/>
          <w:szCs w:val="28"/>
        </w:rPr>
        <w:t>股份有限公司</w:t>
      </w:r>
    </w:p>
    <w:p>
      <w:pPr>
        <w:pStyle w:val="4"/>
        <w:spacing w:line="500" w:lineRule="exact"/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  <w:lang w:eastAsia="zh-CN"/>
        </w:rPr>
        <w:t>工作小组</w:t>
      </w:r>
    </w:p>
    <w:p>
      <w:pPr>
        <w:pStyle w:val="4"/>
        <w:wordWrap w:val="0"/>
        <w:spacing w:line="400" w:lineRule="exact"/>
        <w:ind w:right="700"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EE091"/>
    <w:multiLevelType w:val="singleLevel"/>
    <w:tmpl w:val="CA1EE0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ZGJiN2IwYThkOTZkOTA5YjA0YzBiNTk4MTBiZGMifQ=="/>
  </w:docVars>
  <w:rsids>
    <w:rsidRoot w:val="27381322"/>
    <w:rsid w:val="273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p"/>
    <w:basedOn w:val="1"/>
    <w:qFormat/>
    <w:uiPriority w:val="0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2024-04-02T01:27:00Z</dcterms:created>
  <dc:creator>祝福</dc:creator>
  <cp:lastModifiedBy>祝福</cp:lastModifiedBy>
  <dcterms:modified xsi:type="dcterms:W3CDTF">2024-04-02T01:27:30Z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34D355BBB30D4B39B83630F06E8DBD47_11</vt:lpwstr>
  </property>
</Properties>
</file>