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b/>
          <w:bCs/>
          <w:sz w:val="24"/>
          <w:szCs w:val="24"/>
        </w:rPr>
        <w:t>1.项目名称：</w:t>
      </w:r>
      <w:r>
        <w:rPr>
          <w:rFonts w:hint="eastAsia"/>
          <w:sz w:val="24"/>
          <w:szCs w:val="24"/>
        </w:rPr>
        <w:t xml:space="preserve"> SOD的抗溃疡性结肠炎非临床药效学研究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bCs/>
          <w:sz w:val="24"/>
          <w:szCs w:val="24"/>
          <w:lang w:eastAsia="zh-CN"/>
        </w:rPr>
      </w:pPr>
      <w:r>
        <w:rPr>
          <w:rFonts w:hint="eastAsia"/>
          <w:b/>
          <w:bCs/>
          <w:sz w:val="24"/>
          <w:szCs w:val="24"/>
        </w:rPr>
        <w:t>2.标的技术的内容、技术指标和参数</w:t>
      </w:r>
      <w:r>
        <w:rPr>
          <w:rFonts w:hint="eastAsia"/>
          <w:b/>
          <w:bCs/>
          <w:sz w:val="24"/>
          <w:szCs w:val="24"/>
          <w:lang w:eastAsia="zh-CN"/>
        </w:rPr>
        <w:t>：</w:t>
      </w:r>
      <w:r>
        <w:rPr>
          <w:rFonts w:hint="eastAsia"/>
          <w:bCs/>
          <w:sz w:val="24"/>
          <w:szCs w:val="24"/>
        </w:rPr>
        <w:t>见附件“SOD的抗溃疡性结肠炎非临床药效学研究”实验方案</w:t>
      </w:r>
      <w:r>
        <w:rPr>
          <w:rFonts w:hint="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b/>
          <w:bCs/>
          <w:sz w:val="24"/>
          <w:szCs w:val="24"/>
        </w:rPr>
        <w:t>3</w:t>
      </w:r>
      <w:r>
        <w:rPr>
          <w:rFonts w:hint="eastAsia"/>
          <w:b/>
          <w:bCs/>
          <w:sz w:val="24"/>
          <w:szCs w:val="24"/>
        </w:rPr>
        <w:t>.项目期限：</w:t>
      </w:r>
      <w:r>
        <w:rPr>
          <w:rFonts w:hint="eastAsia"/>
          <w:sz w:val="24"/>
        </w:rPr>
        <w:t>项目开始时间预计为</w:t>
      </w:r>
      <w:r>
        <w:rPr>
          <w:sz w:val="24"/>
        </w:rPr>
        <w:t>2022</w:t>
      </w:r>
      <w:r>
        <w:rPr>
          <w:rFonts w:hint="eastAsia"/>
          <w:sz w:val="24"/>
        </w:rPr>
        <w:t>年</w:t>
      </w:r>
      <w:r>
        <w:rPr>
          <w:sz w:val="24"/>
        </w:rPr>
        <w:t>5</w:t>
      </w:r>
      <w:r>
        <w:rPr>
          <w:rFonts w:hint="eastAsia"/>
          <w:sz w:val="24"/>
        </w:rPr>
        <w:t>月，具体时间以双方签订合同生效后为</w:t>
      </w:r>
      <w:r>
        <w:rPr>
          <w:rFonts w:hint="eastAsia"/>
          <w:color w:val="auto"/>
          <w:sz w:val="24"/>
        </w:rPr>
        <w:t>准</w:t>
      </w:r>
      <w:r>
        <w:rPr>
          <w:rFonts w:hint="eastAsia"/>
          <w:color w:val="auto"/>
          <w:sz w:val="24"/>
          <w:szCs w:val="24"/>
        </w:rPr>
        <w:t>，</w:t>
      </w:r>
      <w:r>
        <w:rPr>
          <w:rFonts w:hint="eastAsia"/>
          <w:color w:val="auto"/>
          <w:sz w:val="24"/>
        </w:rPr>
        <w:t>合作期限预计为一个月。</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b/>
          <w:bCs/>
          <w:color w:val="auto"/>
          <w:sz w:val="24"/>
          <w:szCs w:val="24"/>
        </w:rPr>
        <w:t>4</w:t>
      </w:r>
      <w:r>
        <w:rPr>
          <w:rFonts w:hint="eastAsia"/>
          <w:b/>
          <w:bCs/>
          <w:color w:val="auto"/>
          <w:sz w:val="24"/>
          <w:szCs w:val="24"/>
        </w:rPr>
        <w:t>.付款方式：</w:t>
      </w:r>
      <w:r>
        <w:rPr>
          <w:rFonts w:hint="eastAsia"/>
          <w:color w:val="auto"/>
          <w:sz w:val="24"/>
          <w:szCs w:val="24"/>
        </w:rPr>
        <w:t xml:space="preserve">按工作进度分两期支付。 </w:t>
      </w:r>
      <w:bookmarkStart w:id="5" w:name="_GoBack"/>
      <w:bookmarkEnd w:id="5"/>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.1合同签订生效后，30日内支付40%。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.2完成SOD的抗溃疡性结肠炎非临床药效学研究并出具报告后，10日内支付</w:t>
      </w:r>
      <w:r>
        <w:rPr>
          <w:rFonts w:ascii="Times New Roman" w:hAnsi="Times New Roman"/>
          <w:color w:val="auto"/>
          <w:sz w:val="24"/>
          <w:szCs w:val="24"/>
        </w:rPr>
        <w:t>6</w:t>
      </w:r>
      <w:r>
        <w:rPr>
          <w:rFonts w:hint="eastAsia" w:ascii="Times New Roman" w:hAnsi="Times New Roman"/>
          <w:color w:val="auto"/>
          <w:sz w:val="24"/>
          <w:szCs w:val="24"/>
        </w:rPr>
        <w:t>0%。</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color w:val="auto"/>
          <w:sz w:val="24"/>
          <w:szCs w:val="24"/>
        </w:rPr>
      </w:pPr>
      <w:r>
        <w:rPr>
          <w:b/>
          <w:bCs/>
          <w:color w:val="auto"/>
          <w:sz w:val="24"/>
          <w:szCs w:val="24"/>
        </w:rPr>
        <w:t>5</w:t>
      </w:r>
      <w:r>
        <w:rPr>
          <w:rFonts w:hint="eastAsia"/>
          <w:b/>
          <w:bCs/>
          <w:color w:val="auto"/>
          <w:sz w:val="24"/>
          <w:szCs w:val="24"/>
        </w:rPr>
        <w:t>.报价规定及投标资质：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.1本项目投标报价需包括以下内容：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.1.1根据招标文件说明所包括的一切研究项目内容。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.1.2在合同实施期间因国家有关政策调整所可能需要的额外调整因素。</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.1.3参加议标编制投标报价所涉及的一切费用。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.1.4如有优惠项目请明确说明，重大缺漏项目按废标处理。</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.2报价为含税价，要求开具增值税普通发票。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.3本次招标采取一次性报价方式</w:t>
      </w:r>
      <w:r>
        <w:rPr>
          <w:rFonts w:hint="eastAsia"/>
          <w:sz w:val="24"/>
          <w:szCs w:val="24"/>
          <w:lang w:eastAsia="zh-CN"/>
        </w:rPr>
        <w:t>，并设置最高限价</w:t>
      </w:r>
      <w:r>
        <w:rPr>
          <w:rFonts w:hint="eastAsia"/>
          <w:sz w:val="24"/>
          <w:szCs w:val="24"/>
          <w:lang w:val="en-US" w:eastAsia="zh-CN"/>
        </w:rPr>
        <w:t>10万元</w:t>
      </w:r>
      <w:r>
        <w:rPr>
          <w:rFonts w:hint="eastAsia"/>
          <w:sz w:val="24"/>
          <w:szCs w:val="24"/>
          <w:lang w:eastAsia="zh-CN"/>
        </w:rPr>
        <w:t>，总报价超过</w:t>
      </w:r>
      <w:r>
        <w:rPr>
          <w:rFonts w:hint="eastAsia"/>
          <w:sz w:val="24"/>
          <w:szCs w:val="24"/>
          <w:lang w:val="en-US" w:eastAsia="zh-CN"/>
        </w:rPr>
        <w:t>10万元的</w:t>
      </w:r>
      <w:r>
        <w:rPr>
          <w:rFonts w:hint="eastAsia"/>
          <w:sz w:val="24"/>
          <w:szCs w:val="24"/>
        </w:rPr>
        <w:t>按废标处理。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sz w:val="24"/>
          <w:szCs w:val="24"/>
        </w:rPr>
      </w:pPr>
      <w:r>
        <w:rPr>
          <w:rFonts w:hint="eastAsia"/>
          <w:color w:val="auto"/>
          <w:sz w:val="24"/>
          <w:szCs w:val="24"/>
        </w:rPr>
        <w:t>5</w:t>
      </w:r>
      <w:r>
        <w:rPr>
          <w:color w:val="auto"/>
          <w:sz w:val="24"/>
          <w:szCs w:val="24"/>
        </w:rPr>
        <w:t>.4</w:t>
      </w:r>
      <w:r>
        <w:rPr>
          <w:rFonts w:hint="eastAsia"/>
          <w:color w:val="auto"/>
          <w:sz w:val="24"/>
          <w:szCs w:val="24"/>
        </w:rPr>
        <w:t>投标机构应通过国家药物GLP认证。</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color w:val="auto"/>
          <w:sz w:val="24"/>
          <w:szCs w:val="24"/>
        </w:rPr>
      </w:pPr>
      <w:r>
        <w:rPr>
          <w:b/>
          <w:bCs/>
          <w:color w:val="auto"/>
          <w:sz w:val="24"/>
          <w:szCs w:val="24"/>
        </w:rPr>
        <w:t>6</w:t>
      </w:r>
      <w:r>
        <w:rPr>
          <w:rFonts w:hint="eastAsia"/>
          <w:b/>
          <w:bCs/>
          <w:color w:val="auto"/>
          <w:sz w:val="24"/>
          <w:szCs w:val="24"/>
        </w:rPr>
        <w:t>.评标办法：</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6</w:t>
      </w:r>
      <w:r>
        <w:rPr>
          <w:rFonts w:hint="eastAsia"/>
          <w:color w:val="auto"/>
          <w:sz w:val="24"/>
          <w:szCs w:val="24"/>
        </w:rPr>
        <w:t>.1满足招标文件要求，以总价最低确定中标候选人。但如有故意压低价格的行为，或出现重大错漏报，将作为废标处理。</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6</w:t>
      </w:r>
      <w:r>
        <w:rPr>
          <w:rFonts w:hint="eastAsia"/>
          <w:color w:val="auto"/>
          <w:sz w:val="24"/>
          <w:szCs w:val="24"/>
        </w:rPr>
        <w:t>.2本次招标不存在按投标报价由低到高的排序递补中标候选人的情况。若中标候选人放弃中标，则择机另行安排。</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color w:val="auto"/>
          <w:sz w:val="24"/>
          <w:szCs w:val="24"/>
        </w:rPr>
      </w:pPr>
      <w:r>
        <w:rPr>
          <w:b/>
          <w:bCs/>
          <w:color w:val="auto"/>
          <w:sz w:val="24"/>
          <w:szCs w:val="24"/>
        </w:rPr>
        <w:t>7</w:t>
      </w:r>
      <w:r>
        <w:rPr>
          <w:rFonts w:hint="eastAsia"/>
          <w:b/>
          <w:bCs/>
          <w:color w:val="auto"/>
          <w:sz w:val="24"/>
          <w:szCs w:val="24"/>
        </w:rPr>
        <w:t>.开标时间、地点及参与方式：</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7</w:t>
      </w:r>
      <w:r>
        <w:rPr>
          <w:rFonts w:hint="eastAsia"/>
          <w:color w:val="auto"/>
          <w:sz w:val="24"/>
          <w:szCs w:val="24"/>
        </w:rPr>
        <w:t>.1开标时间及地点：202</w:t>
      </w:r>
      <w:r>
        <w:rPr>
          <w:color w:val="auto"/>
          <w:sz w:val="24"/>
          <w:szCs w:val="24"/>
        </w:rPr>
        <w:t>2</w:t>
      </w:r>
      <w:r>
        <w:rPr>
          <w:rFonts w:hint="eastAsia"/>
          <w:color w:val="auto"/>
          <w:sz w:val="24"/>
          <w:szCs w:val="24"/>
        </w:rPr>
        <w:t>年</w:t>
      </w:r>
      <w:r>
        <w:rPr>
          <w:color w:val="auto"/>
          <w:sz w:val="24"/>
          <w:szCs w:val="24"/>
        </w:rPr>
        <w:t>2</w:t>
      </w:r>
      <w:r>
        <w:rPr>
          <w:rFonts w:hint="eastAsia"/>
          <w:color w:val="auto"/>
          <w:sz w:val="24"/>
          <w:szCs w:val="24"/>
        </w:rPr>
        <w:t>月</w:t>
      </w:r>
      <w:r>
        <w:rPr>
          <w:rFonts w:hint="eastAsia"/>
          <w:color w:val="auto"/>
          <w:sz w:val="24"/>
          <w:szCs w:val="24"/>
          <w:lang w:val="en-US" w:eastAsia="zh-CN"/>
        </w:rPr>
        <w:t>18</w:t>
      </w:r>
      <w:r>
        <w:rPr>
          <w:rFonts w:hint="eastAsia"/>
          <w:color w:val="auto"/>
          <w:sz w:val="24"/>
          <w:szCs w:val="24"/>
        </w:rPr>
        <w:t>日在漳州水仙药业股份有限公司会议室公开开标。</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7</w:t>
      </w:r>
      <w:r>
        <w:rPr>
          <w:rFonts w:hint="eastAsia"/>
          <w:color w:val="auto"/>
          <w:sz w:val="24"/>
          <w:szCs w:val="24"/>
        </w:rPr>
        <w:t>.2参与方式：投标人应于投标截止时间前以现场递交或邮寄方式参与投标，地址为：福建省漳州市芗城区南山路1号，漳州水仙药业股份有限公司六楼招标办，收件人：游志成，电话：13779911798。以邮寄投标文件方式参与投标的，快递单上须注明投标单位名称和参与的招标项目编号及项目名称。</w:t>
      </w:r>
      <w:r>
        <w:rPr>
          <w:rFonts w:hint="eastAsia"/>
          <w:color w:val="auto"/>
          <w:sz w:val="24"/>
        </w:rPr>
        <w:t>开标之前为确保寄达，请事先与我司招标办确认。</w:t>
      </w:r>
      <w:r>
        <w:rPr>
          <w:rFonts w:hint="eastAsia"/>
          <w:color w:val="auto"/>
          <w:sz w:val="24"/>
          <w:szCs w:val="24"/>
        </w:rPr>
        <w:t>投标截止时间：202</w:t>
      </w:r>
      <w:r>
        <w:rPr>
          <w:color w:val="auto"/>
          <w:sz w:val="24"/>
          <w:szCs w:val="24"/>
        </w:rPr>
        <w:t>2</w:t>
      </w:r>
      <w:r>
        <w:rPr>
          <w:rFonts w:hint="eastAsia"/>
          <w:color w:val="auto"/>
          <w:sz w:val="24"/>
          <w:szCs w:val="24"/>
        </w:rPr>
        <w:t>年</w:t>
      </w:r>
      <w:r>
        <w:rPr>
          <w:color w:val="auto"/>
          <w:sz w:val="24"/>
          <w:szCs w:val="24"/>
        </w:rPr>
        <w:t>2</w:t>
      </w:r>
      <w:r>
        <w:rPr>
          <w:rFonts w:hint="eastAsia"/>
          <w:color w:val="auto"/>
          <w:sz w:val="24"/>
          <w:szCs w:val="24"/>
        </w:rPr>
        <w:t>月</w:t>
      </w:r>
      <w:r>
        <w:rPr>
          <w:rFonts w:hint="eastAsia"/>
          <w:color w:val="auto"/>
          <w:sz w:val="24"/>
          <w:szCs w:val="24"/>
          <w:lang w:val="en-US" w:eastAsia="zh-CN"/>
        </w:rPr>
        <w:t>17</w:t>
      </w:r>
      <w:r>
        <w:rPr>
          <w:rFonts w:hint="eastAsia"/>
          <w:color w:val="auto"/>
          <w:sz w:val="24"/>
          <w:szCs w:val="24"/>
        </w:rPr>
        <w:t>日17:30，逾期招标人有权拒收。</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sz w:val="24"/>
          <w:szCs w:val="24"/>
        </w:rPr>
      </w:pPr>
      <w:r>
        <w:rPr>
          <w:b/>
          <w:bCs/>
          <w:sz w:val="24"/>
          <w:szCs w:val="24"/>
        </w:rPr>
        <w:t>8</w:t>
      </w:r>
      <w:r>
        <w:rPr>
          <w:rFonts w:hint="eastAsia"/>
          <w:b/>
          <w:bCs/>
          <w:sz w:val="24"/>
          <w:szCs w:val="24"/>
        </w:rPr>
        <w:t>.投标文件要求：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投标文件分成三部分，每部分应分开密封装订：第一部分为资格文件，第二部分技术文件，第三部分为商务文件。</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.1</w:t>
      </w:r>
      <w:r>
        <w:rPr>
          <w:sz w:val="24"/>
          <w:szCs w:val="24"/>
        </w:rPr>
        <w:t>资格文件编制一式一份，主要内容为详细的投标人资料，包括a.三证合一的《营业执照》；b.非法人代表到现场投标的需提供法人代表授权书；c.</w:t>
      </w:r>
      <w:r>
        <w:rPr>
          <w:rFonts w:hint="eastAsia"/>
          <w:sz w:val="24"/>
          <w:szCs w:val="24"/>
        </w:rPr>
        <w:t>招标</w:t>
      </w:r>
      <w:r>
        <w:rPr>
          <w:sz w:val="24"/>
          <w:szCs w:val="24"/>
        </w:rPr>
        <w:t>文件对投标人资格要求的其他资料。</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w:t>
      </w:r>
      <w:r>
        <w:rPr>
          <w:sz w:val="24"/>
          <w:szCs w:val="24"/>
        </w:rPr>
        <w:t>2技术文件编制一式二份，包括技术</w:t>
      </w:r>
      <w:r>
        <w:rPr>
          <w:rFonts w:hint="eastAsia"/>
          <w:sz w:val="24"/>
          <w:szCs w:val="24"/>
        </w:rPr>
        <w:t>开发内容</w:t>
      </w:r>
      <w:r>
        <w:rPr>
          <w:sz w:val="24"/>
          <w:szCs w:val="24"/>
        </w:rPr>
        <w:t>、技术参数、</w:t>
      </w:r>
      <w:r>
        <w:rPr>
          <w:rFonts w:hint="eastAsia"/>
          <w:sz w:val="24"/>
          <w:szCs w:val="24"/>
        </w:rPr>
        <w:t>完成时间</w:t>
      </w:r>
      <w:r>
        <w:rPr>
          <w:sz w:val="24"/>
          <w:szCs w:val="24"/>
        </w:rPr>
        <w:t>，</w:t>
      </w:r>
      <w:r>
        <w:rPr>
          <w:rFonts w:hint="eastAsia"/>
          <w:sz w:val="24"/>
          <w:szCs w:val="24"/>
        </w:rPr>
        <w:t>招标</w:t>
      </w:r>
      <w:r>
        <w:rPr>
          <w:sz w:val="24"/>
          <w:szCs w:val="24"/>
        </w:rPr>
        <w:t>文件要求提供的其它技术方面的文件，等等。</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.3</w:t>
      </w:r>
      <w:r>
        <w:rPr>
          <w:sz w:val="24"/>
          <w:szCs w:val="24"/>
        </w:rPr>
        <w:t>商务文件编制一式一份，包括以下内容：投标报价表（必须由法人代表或被授权人签字盖章）、商务偏离表（如付款方式等，未说明即默认响应本</w:t>
      </w:r>
      <w:r>
        <w:rPr>
          <w:rFonts w:hint="eastAsia"/>
          <w:sz w:val="24"/>
          <w:szCs w:val="24"/>
        </w:rPr>
        <w:t>招标</w:t>
      </w:r>
      <w:r>
        <w:rPr>
          <w:sz w:val="24"/>
          <w:szCs w:val="24"/>
        </w:rPr>
        <w:t>文件要求），等等。</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.4</w:t>
      </w:r>
      <w:r>
        <w:rPr>
          <w:sz w:val="24"/>
          <w:szCs w:val="24"/>
        </w:rPr>
        <w:t>除投标报价书外，其他任何地方不得出现相关投标标价的任何内容。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sz w:val="24"/>
          <w:szCs w:val="24"/>
        </w:rPr>
      </w:pPr>
      <w:r>
        <w:rPr>
          <w:b/>
          <w:bCs/>
          <w:sz w:val="24"/>
          <w:szCs w:val="24"/>
        </w:rPr>
        <w:t>9</w:t>
      </w:r>
      <w:r>
        <w:rPr>
          <w:rFonts w:hint="eastAsia"/>
          <w:b/>
          <w:bCs/>
          <w:sz w:val="24"/>
          <w:szCs w:val="24"/>
        </w:rPr>
        <w:t>其他：</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.1.投标费用：无论投标过程中的作法和结果如何，投标方自行承担其所有与参加投标有关的全部费用。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.2.投标文件和有关资料一律不退还。</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.3.投标文件和报价清单须经投标方单位盖章方视为有效。</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.4.出现以下情况者，投标方的投标文件将作为废标：</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.4.1.不符合我国法律、法规的投标文件。</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.4.2.虚报、谎报行为的投标。</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.4.3. “关于资格的声明函”未提供或提供不全。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.4.4.对招标文件中项目期未作出响应、或投标文件中项目期不明确、或项目期不能满足招标方要求。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.4.5.投标文件与招标文件规定的技术要求有严重不符合者。</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.5.解决合同纠纷的方式：双方协商解决，协商不成的，由合同签订地人民法院判决。</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b/>
          <w:bCs/>
          <w:sz w:val="24"/>
          <w:szCs w:val="24"/>
        </w:rPr>
        <w:t>1</w:t>
      </w:r>
      <w:r>
        <w:rPr>
          <w:b/>
          <w:bCs/>
          <w:sz w:val="24"/>
          <w:szCs w:val="24"/>
        </w:rPr>
        <w:t>0</w:t>
      </w:r>
      <w:r>
        <w:rPr>
          <w:rFonts w:hint="eastAsia"/>
          <w:b/>
          <w:bCs/>
          <w:sz w:val="24"/>
          <w:szCs w:val="24"/>
        </w:rPr>
        <w:t>.评标小组：</w:t>
      </w:r>
      <w:r>
        <w:rPr>
          <w:rFonts w:hint="eastAsia"/>
          <w:sz w:val="24"/>
          <w:szCs w:val="24"/>
        </w:rPr>
        <w:t>评标小组由水仙药业公司有关部门人员组成。</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sz w:val="24"/>
          <w:szCs w:val="24"/>
        </w:rPr>
      </w:pPr>
      <w:r>
        <w:rPr>
          <w:rFonts w:hint="eastAsia"/>
          <w:b/>
          <w:bCs/>
          <w:sz w:val="24"/>
          <w:szCs w:val="24"/>
        </w:rPr>
        <w:t>1</w:t>
      </w:r>
      <w:r>
        <w:rPr>
          <w:b/>
          <w:bCs/>
          <w:sz w:val="24"/>
          <w:szCs w:val="24"/>
        </w:rPr>
        <w:t>1</w:t>
      </w:r>
      <w:r>
        <w:rPr>
          <w:rFonts w:hint="eastAsia"/>
          <w:b/>
          <w:bCs/>
          <w:sz w:val="24"/>
          <w:szCs w:val="24"/>
        </w:rPr>
        <w:t xml:space="preserve">.联系方式： </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sz w:val="24"/>
          <w:szCs w:val="24"/>
        </w:rPr>
        <w:t>招标办    游先生：0596-2302616</w:t>
      </w:r>
      <w:r>
        <w:rPr>
          <w:sz w:val="24"/>
          <w:szCs w:val="24"/>
        </w:rPr>
        <w:t xml:space="preserve"> / 13779911798</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sz w:val="24"/>
          <w:szCs w:val="24"/>
        </w:rPr>
        <w:t>技术交流  康颖：</w:t>
      </w:r>
      <w:r>
        <w:rPr>
          <w:sz w:val="24"/>
          <w:szCs w:val="24"/>
        </w:rPr>
        <w:t>18811568072</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ascii="宋体" w:hAnsi="宋体"/>
          <w:b/>
          <w:bCs/>
          <w:sz w:val="24"/>
          <w:szCs w:val="24"/>
        </w:rPr>
      </w:pPr>
      <w:r>
        <w:rPr>
          <w:rFonts w:hint="eastAsia" w:ascii="宋体" w:hAnsi="宋体"/>
          <w:b/>
          <w:bCs/>
          <w:sz w:val="24"/>
          <w:szCs w:val="24"/>
        </w:rPr>
        <w:t>招标人：漳州水仙药业股份有限公司</w:t>
      </w:r>
    </w:p>
    <w:p>
      <w:pPr>
        <w:keepNext w:val="0"/>
        <w:keepLines w:val="0"/>
        <w:pageBreakBefore w:val="0"/>
        <w:widowControl w:val="0"/>
        <w:kinsoku/>
        <w:wordWrap/>
        <w:overflowPunct/>
        <w:topLinePunct w:val="0"/>
        <w:autoSpaceDE/>
        <w:autoSpaceDN/>
        <w:bidi w:val="0"/>
        <w:adjustRightInd/>
        <w:snapToGrid/>
        <w:spacing w:line="380" w:lineRule="exact"/>
        <w:ind w:firstLine="4096" w:firstLineChars="1700"/>
        <w:textAlignment w:val="auto"/>
        <w:rPr>
          <w:rFonts w:hint="eastAsia"/>
          <w:b/>
          <w:bCs/>
          <w:sz w:val="30"/>
        </w:rPr>
      </w:pPr>
      <w:r>
        <w:rPr>
          <w:rFonts w:hint="eastAsia" w:ascii="宋体" w:hAnsi="宋体"/>
          <w:b/>
          <w:bCs/>
          <w:sz w:val="24"/>
          <w:szCs w:val="24"/>
        </w:rPr>
        <w:t xml:space="preserve">                      </w:t>
      </w:r>
      <w:r>
        <w:rPr>
          <w:rFonts w:hint="eastAsia" w:ascii="宋体" w:hAnsi="宋体"/>
          <w:b/>
          <w:bCs/>
          <w:color w:val="FF0000"/>
          <w:sz w:val="24"/>
          <w:szCs w:val="24"/>
        </w:rPr>
        <w:t xml:space="preserve"> </w:t>
      </w:r>
      <w:r>
        <w:rPr>
          <w:rFonts w:hint="eastAsia" w:ascii="宋体" w:hAnsi="宋体"/>
          <w:b/>
          <w:bCs/>
          <w:color w:val="auto"/>
          <w:sz w:val="24"/>
          <w:szCs w:val="24"/>
        </w:rPr>
        <w:t xml:space="preserve"> 202</w:t>
      </w:r>
      <w:r>
        <w:rPr>
          <w:rFonts w:ascii="宋体" w:hAnsi="宋体"/>
          <w:b/>
          <w:bCs/>
          <w:color w:val="auto"/>
          <w:sz w:val="24"/>
          <w:szCs w:val="24"/>
        </w:rPr>
        <w:t>2</w:t>
      </w:r>
      <w:r>
        <w:rPr>
          <w:rFonts w:hint="eastAsia" w:ascii="宋体" w:hAnsi="宋体"/>
          <w:b/>
          <w:bCs/>
          <w:color w:val="auto"/>
          <w:sz w:val="24"/>
          <w:szCs w:val="24"/>
        </w:rPr>
        <w:t>年2月1</w:t>
      </w:r>
      <w:r>
        <w:rPr>
          <w:rFonts w:hint="eastAsia" w:ascii="宋体" w:hAnsi="宋体"/>
          <w:b/>
          <w:bCs/>
          <w:color w:val="auto"/>
          <w:sz w:val="24"/>
          <w:szCs w:val="24"/>
          <w:lang w:val="en-US" w:eastAsia="zh-CN"/>
        </w:rPr>
        <w:t>1</w:t>
      </w:r>
      <w:r>
        <w:rPr>
          <w:rFonts w:hint="eastAsia" w:ascii="宋体" w:hAnsi="宋体"/>
          <w:b/>
          <w:bCs/>
          <w:color w:val="auto"/>
          <w:sz w:val="24"/>
          <w:szCs w:val="24"/>
        </w:rPr>
        <w:t>日</w:t>
      </w:r>
    </w:p>
    <w:p>
      <w:pPr>
        <w:spacing w:line="360" w:lineRule="auto"/>
        <w:rPr>
          <w:b/>
          <w:bCs/>
          <w:sz w:val="30"/>
        </w:rPr>
      </w:pPr>
      <w:r>
        <w:rPr>
          <w:rFonts w:hint="eastAsia"/>
          <w:b/>
          <w:bCs/>
          <w:sz w:val="30"/>
        </w:rPr>
        <w:t>附件一：</w:t>
      </w:r>
    </w:p>
    <w:p>
      <w:pPr>
        <w:spacing w:line="360" w:lineRule="auto"/>
        <w:ind w:firstLine="435"/>
        <w:jc w:val="center"/>
        <w:rPr>
          <w:b/>
          <w:bCs/>
          <w:sz w:val="30"/>
        </w:rPr>
      </w:pPr>
      <w:r>
        <w:rPr>
          <w:rFonts w:hint="eastAsia"/>
          <w:b/>
          <w:bCs/>
          <w:sz w:val="30"/>
        </w:rPr>
        <w:t>投标单位法定代表人授权书</w:t>
      </w:r>
    </w:p>
    <w:p>
      <w:pPr>
        <w:spacing w:line="360" w:lineRule="auto"/>
        <w:rPr>
          <w:sz w:val="24"/>
        </w:rPr>
      </w:pPr>
    </w:p>
    <w:p>
      <w:pPr>
        <w:spacing w:line="360" w:lineRule="auto"/>
        <w:ind w:firstLine="3840" w:firstLineChars="1600"/>
        <w:rPr>
          <w:sz w:val="24"/>
        </w:rPr>
      </w:pPr>
      <w:r>
        <w:rPr>
          <w:rFonts w:hint="eastAsia"/>
          <w:sz w:val="24"/>
        </w:rPr>
        <w:t>项目名称：</w:t>
      </w:r>
      <w:r>
        <w:rPr>
          <w:rFonts w:hint="eastAsia"/>
          <w:sz w:val="24"/>
          <w:u w:val="single"/>
        </w:rPr>
        <w:t xml:space="preserve">            </w:t>
      </w:r>
    </w:p>
    <w:p>
      <w:pPr>
        <w:spacing w:line="360" w:lineRule="auto"/>
        <w:ind w:firstLine="3840" w:firstLineChars="1600"/>
        <w:rPr>
          <w:sz w:val="24"/>
        </w:rPr>
      </w:pPr>
      <w:r>
        <w:rPr>
          <w:rFonts w:hint="eastAsia"/>
          <w:sz w:val="24"/>
        </w:rPr>
        <w:t>日    期：</w:t>
      </w:r>
      <w:r>
        <w:rPr>
          <w:rFonts w:hint="eastAsia"/>
          <w:sz w:val="24"/>
          <w:u w:val="single"/>
        </w:rPr>
        <w:t xml:space="preserve">            </w:t>
      </w:r>
    </w:p>
    <w:p>
      <w:pPr>
        <w:spacing w:line="360" w:lineRule="auto"/>
        <w:rPr>
          <w:sz w:val="24"/>
        </w:rPr>
      </w:pPr>
    </w:p>
    <w:p>
      <w:pPr>
        <w:spacing w:line="360" w:lineRule="auto"/>
        <w:rPr>
          <w:sz w:val="24"/>
        </w:rPr>
      </w:pPr>
    </w:p>
    <w:p>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pPr>
        <w:spacing w:line="360" w:lineRule="auto"/>
        <w:ind w:firstLine="480" w:firstLineChars="200"/>
        <w:rPr>
          <w:sz w:val="24"/>
          <w:u w:val="single"/>
        </w:rPr>
      </w:pPr>
      <w:r>
        <w:rPr>
          <w:rFonts w:hint="eastAsia"/>
          <w:sz w:val="24"/>
          <w:u w:val="single"/>
        </w:rPr>
        <w:t xml:space="preserve">                            </w:t>
      </w:r>
      <w:r>
        <w:rPr>
          <w:rFonts w:hint="eastAsia"/>
          <w:sz w:val="24"/>
        </w:rPr>
        <w:t>（投标单位名称），中华人民共和国合法企业，法定地址：</w:t>
      </w:r>
      <w:r>
        <w:rPr>
          <w:rFonts w:hint="eastAsia"/>
          <w:sz w:val="24"/>
          <w:u w:val="single"/>
        </w:rPr>
        <w:t xml:space="preserve">                          </w:t>
      </w:r>
    </w:p>
    <w:p>
      <w:pPr>
        <w:spacing w:line="360" w:lineRule="auto"/>
        <w:ind w:firstLine="480" w:firstLineChars="200"/>
        <w:rPr>
          <w:sz w:val="24"/>
        </w:rPr>
      </w:pPr>
      <w:r>
        <w:rPr>
          <w:rFonts w:hint="eastAsia"/>
          <w:sz w:val="24"/>
          <w:u w:val="single"/>
        </w:rPr>
        <w:t xml:space="preserve">              </w:t>
      </w:r>
      <w:r>
        <w:rPr>
          <w:rFonts w:hint="eastAsia"/>
          <w:sz w:val="24"/>
        </w:rPr>
        <w:t>（授权人姓名）特授权</w:t>
      </w:r>
      <w:r>
        <w:rPr>
          <w:rFonts w:hint="eastAsia"/>
          <w:sz w:val="24"/>
          <w:u w:val="single"/>
        </w:rPr>
        <w:t xml:space="preserve">           </w:t>
      </w:r>
      <w:r>
        <w:rPr>
          <w:rFonts w:hint="eastAsia"/>
          <w:sz w:val="24"/>
        </w:rPr>
        <w:t>（被授权人姓名）代表我公司全权办理针对上述项目的投标、谈判、签约等具体工作，并签署全部有关的文件、协议及合同。</w:t>
      </w:r>
    </w:p>
    <w:p>
      <w:pPr>
        <w:spacing w:line="360" w:lineRule="auto"/>
        <w:ind w:firstLine="480" w:firstLineChars="200"/>
        <w:rPr>
          <w:sz w:val="24"/>
        </w:rPr>
      </w:pPr>
      <w:r>
        <w:rPr>
          <w:rFonts w:hint="eastAsia"/>
          <w:sz w:val="24"/>
        </w:rPr>
        <w:t>我公司对被授权人的签名负全部责任。</w:t>
      </w:r>
    </w:p>
    <w:p>
      <w:pPr>
        <w:spacing w:line="360" w:lineRule="auto"/>
        <w:ind w:firstLine="480" w:firstLineChars="200"/>
        <w:rPr>
          <w:sz w:val="24"/>
        </w:rPr>
      </w:pPr>
      <w:r>
        <w:rPr>
          <w:rFonts w:hint="eastAsia"/>
          <w:sz w:val="24"/>
        </w:rPr>
        <w:t>在撤销授权的书面通知以前，本授权书一直有效。被授权人签署的所有文件（在授权书有效期内签署的）不因授权的撤销而失效。</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480" w:lineRule="auto"/>
        <w:ind w:firstLine="480" w:firstLineChars="200"/>
        <w:rPr>
          <w:sz w:val="24"/>
        </w:rPr>
      </w:pPr>
      <w:r>
        <w:rPr>
          <w:rFonts w:hint="eastAsia"/>
          <w:sz w:val="24"/>
        </w:rPr>
        <w:t>授权人签名：</w:t>
      </w:r>
      <w:r>
        <w:rPr>
          <w:rFonts w:hint="eastAsia"/>
          <w:sz w:val="24"/>
          <w:u w:val="single"/>
        </w:rPr>
        <w:t xml:space="preserve">               </w:t>
      </w:r>
      <w:r>
        <w:rPr>
          <w:rFonts w:hint="eastAsia"/>
          <w:sz w:val="24"/>
        </w:rPr>
        <w:t xml:space="preserve">  被授权人签名：</w:t>
      </w:r>
      <w:r>
        <w:rPr>
          <w:rFonts w:hint="eastAsia"/>
          <w:sz w:val="24"/>
          <w:u w:val="single"/>
        </w:rPr>
        <w:t xml:space="preserve">             </w:t>
      </w:r>
      <w:r>
        <w:rPr>
          <w:rFonts w:hint="eastAsia"/>
          <w:sz w:val="24"/>
        </w:rPr>
        <w:t xml:space="preserve">  </w:t>
      </w:r>
    </w:p>
    <w:p>
      <w:pPr>
        <w:spacing w:line="480" w:lineRule="auto"/>
        <w:ind w:firstLine="480" w:firstLineChars="200"/>
        <w:rPr>
          <w:sz w:val="24"/>
        </w:rPr>
      </w:pPr>
      <w:r>
        <w:rPr>
          <w:rFonts w:hint="eastAsia"/>
          <w:sz w:val="24"/>
        </w:rPr>
        <w:t>职务：</w:t>
      </w:r>
      <w:r>
        <w:rPr>
          <w:rFonts w:hint="eastAsia"/>
          <w:sz w:val="24"/>
          <w:u w:val="single"/>
        </w:rPr>
        <w:t xml:space="preserve">                     </w:t>
      </w:r>
      <w:r>
        <w:rPr>
          <w:rFonts w:hint="eastAsia"/>
          <w:sz w:val="24"/>
        </w:rPr>
        <w:t xml:space="preserve">  职务：</w:t>
      </w:r>
      <w:r>
        <w:rPr>
          <w:rFonts w:hint="eastAsia"/>
          <w:sz w:val="24"/>
          <w:u w:val="single"/>
        </w:rPr>
        <w:t xml:space="preserve">                     </w:t>
      </w:r>
      <w:r>
        <w:rPr>
          <w:rFonts w:hint="eastAsia"/>
          <w:sz w:val="24"/>
        </w:rPr>
        <w:t xml:space="preserve">  </w:t>
      </w:r>
    </w:p>
    <w:p>
      <w:pPr>
        <w:spacing w:line="360" w:lineRule="auto"/>
        <w:rPr>
          <w:sz w:val="24"/>
        </w:rPr>
      </w:pPr>
    </w:p>
    <w:p>
      <w:pPr>
        <w:spacing w:line="360" w:lineRule="auto"/>
        <w:rPr>
          <w:sz w:val="24"/>
        </w:rPr>
      </w:pPr>
    </w:p>
    <w:p>
      <w:pPr>
        <w:spacing w:line="360" w:lineRule="auto"/>
        <w:ind w:firstLine="5472" w:firstLineChars="2280"/>
        <w:rPr>
          <w:rFonts w:ascii="宋体" w:hAnsi="宋体"/>
          <w:sz w:val="28"/>
          <w:szCs w:val="28"/>
        </w:rPr>
      </w:pPr>
      <w:r>
        <w:rPr>
          <w:rFonts w:hint="eastAsia"/>
          <w:sz w:val="24"/>
        </w:rPr>
        <w:t>投标单位（公章）</w:t>
      </w:r>
    </w:p>
    <w:p/>
    <w:p/>
    <w:p>
      <w:pPr>
        <w:jc w:val="center"/>
        <w:rPr>
          <w:rFonts w:ascii="Times New Roman" w:hAnsi="Times New Roman"/>
          <w:b/>
          <w:sz w:val="32"/>
          <w:szCs w:val="32"/>
        </w:rPr>
      </w:pPr>
      <w:bookmarkStart w:id="0" w:name="_Toc90928324"/>
      <w:r>
        <w:rPr>
          <w:rFonts w:hint="eastAsia" w:ascii="Times New Roman" w:hAnsi="Times New Roman"/>
          <w:b/>
          <w:sz w:val="32"/>
          <w:szCs w:val="32"/>
        </w:rPr>
        <w:t>“SOD的抗溃疡性结肠炎非临床药效学研究”实验方案</w:t>
      </w:r>
    </w:p>
    <w:p>
      <w:pPr>
        <w:jc w:val="center"/>
        <w:rPr>
          <w:rFonts w:ascii="Times New Roman" w:hAnsi="Times New Roman"/>
          <w:b/>
          <w:sz w:val="32"/>
          <w:szCs w:val="32"/>
        </w:rPr>
      </w:pPr>
    </w:p>
    <w:p>
      <w:pPr>
        <w:jc w:val="left"/>
        <w:rPr>
          <w:rFonts w:ascii="Times New Roman" w:hAnsi="Times New Roman"/>
          <w:szCs w:val="21"/>
        </w:rPr>
      </w:pPr>
      <w:r>
        <w:rPr>
          <w:rFonts w:hint="eastAsia" w:ascii="Times New Roman" w:hAnsi="Times New Roman"/>
          <w:sz w:val="24"/>
          <w:szCs w:val="24"/>
        </w:rPr>
        <w:t xml:space="preserve">   </w:t>
      </w:r>
      <w:r>
        <w:rPr>
          <w:rFonts w:hint="eastAsia" w:ascii="Times New Roman" w:hAnsi="Times New Roman"/>
          <w:szCs w:val="21"/>
        </w:rPr>
        <w:t>本实验拟采用两种化学造模法：DSS（葡聚糖硫酸钠）、OXZ（恶唑酮）。阳性对照选用口服给药的SASP（柳氮磺吡啶），或者直肠给药的5-ASA（5-氨基水杨酸、美沙拉嗪）。</w:t>
      </w:r>
    </w:p>
    <w:p>
      <w:pPr>
        <w:rPr>
          <w:rFonts w:ascii="Times New Roman" w:hAnsi="Times New Roman"/>
          <w:b/>
          <w:szCs w:val="24"/>
        </w:rPr>
      </w:pPr>
    </w:p>
    <w:p>
      <w:pPr>
        <w:rPr>
          <w:rFonts w:ascii="Times New Roman" w:hAnsi="Times New Roman"/>
          <w:b/>
          <w:szCs w:val="24"/>
        </w:rPr>
      </w:pPr>
      <w:r>
        <w:rPr>
          <w:rFonts w:hint="eastAsia" w:ascii="Times New Roman" w:hAnsi="Times New Roman"/>
          <w:b/>
          <w:szCs w:val="24"/>
        </w:rPr>
        <w:t>1. DSS造模条件下口服TAT-</w:t>
      </w:r>
      <w:r>
        <w:rPr>
          <w:rFonts w:ascii="Times New Roman" w:hAnsi="Times New Roman"/>
          <w:b/>
          <w:szCs w:val="24"/>
        </w:rPr>
        <w:t>SOD</w:t>
      </w:r>
      <w:r>
        <w:rPr>
          <w:rFonts w:hint="eastAsia" w:ascii="Times New Roman" w:hAnsi="Times New Roman"/>
          <w:b/>
          <w:szCs w:val="24"/>
        </w:rPr>
        <w:t>对溃疡性结肠炎（简称U</w:t>
      </w:r>
      <w:r>
        <w:rPr>
          <w:rFonts w:ascii="Times New Roman" w:hAnsi="Times New Roman"/>
          <w:b/>
          <w:szCs w:val="24"/>
        </w:rPr>
        <w:t>C</w:t>
      </w:r>
      <w:r>
        <w:rPr>
          <w:rFonts w:hint="eastAsia" w:ascii="Times New Roman" w:hAnsi="Times New Roman"/>
          <w:b/>
          <w:szCs w:val="24"/>
        </w:rPr>
        <w:t>）大鼠的改善作用</w:t>
      </w:r>
      <w:bookmarkEnd w:id="0"/>
    </w:p>
    <w:p>
      <w:pPr>
        <w:rPr>
          <w:rFonts w:ascii="Times New Roman" w:hAnsi="Times New Roman"/>
          <w:b/>
          <w:szCs w:val="24"/>
        </w:rPr>
      </w:pPr>
      <w:r>
        <w:rPr>
          <w:rFonts w:hint="eastAsia" w:ascii="Times New Roman" w:hAnsi="Times New Roman"/>
          <w:b/>
          <w:szCs w:val="24"/>
        </w:rPr>
        <w:t>1.1动物实验</w:t>
      </w:r>
    </w:p>
    <w:p>
      <w:pPr>
        <w:spacing w:line="276" w:lineRule="auto"/>
        <w:rPr>
          <w:rFonts w:ascii="宋体" w:hAnsi="宋体"/>
          <w:szCs w:val="24"/>
        </w:rPr>
      </w:pPr>
      <w:r>
        <w:rPr>
          <w:rFonts w:hint="eastAsia" w:ascii="Times New Roman" w:hAnsi="Times New Roman"/>
          <w:szCs w:val="24"/>
        </w:rPr>
        <w:t xml:space="preserve">    选取</w:t>
      </w:r>
      <w:r>
        <w:rPr>
          <w:rFonts w:ascii="Times New Roman" w:hAnsi="Times New Roman"/>
          <w:szCs w:val="24"/>
        </w:rPr>
        <w:t>SD</w:t>
      </w:r>
      <w:r>
        <w:rPr>
          <w:rFonts w:hint="eastAsia" w:ascii="Times New Roman" w:hAnsi="Times New Roman"/>
          <w:szCs w:val="24"/>
        </w:rPr>
        <w:t>雄性大鼠至少</w:t>
      </w:r>
      <w:r>
        <w:rPr>
          <w:rFonts w:ascii="Times New Roman" w:hAnsi="Times New Roman"/>
          <w:szCs w:val="24"/>
        </w:rPr>
        <w:t>3</w:t>
      </w:r>
      <w:r>
        <w:rPr>
          <w:rFonts w:hint="eastAsia" w:ascii="Times New Roman" w:hAnsi="Times New Roman"/>
          <w:szCs w:val="24"/>
        </w:rPr>
        <w:t>6只，初始体重约</w:t>
      </w:r>
      <w:r>
        <w:rPr>
          <w:rFonts w:ascii="Times New Roman" w:hAnsi="Times New Roman"/>
          <w:szCs w:val="24"/>
        </w:rPr>
        <w:t>220 g</w:t>
      </w:r>
      <w:r>
        <w:rPr>
          <w:rFonts w:hint="eastAsia" w:ascii="Times New Roman" w:hAnsi="Times New Roman"/>
          <w:szCs w:val="24"/>
        </w:rPr>
        <w:t>，随机分成6组，每组至少</w:t>
      </w:r>
      <w:r>
        <w:rPr>
          <w:rFonts w:ascii="Times New Roman" w:hAnsi="Times New Roman"/>
          <w:szCs w:val="24"/>
        </w:rPr>
        <w:t>6</w:t>
      </w:r>
      <w:r>
        <w:rPr>
          <w:rFonts w:hint="eastAsia" w:ascii="Times New Roman" w:hAnsi="Times New Roman"/>
          <w:szCs w:val="24"/>
        </w:rPr>
        <w:t>只，分别为模型组、正常组、</w:t>
      </w:r>
      <w:r>
        <w:rPr>
          <w:rFonts w:ascii="Times New Roman" w:hAnsi="Times New Roman"/>
          <w:szCs w:val="24"/>
        </w:rPr>
        <w:t>高、中、低剂量L-TAT-SOD</w:t>
      </w:r>
      <w:r>
        <w:rPr>
          <w:rFonts w:hint="eastAsia" w:ascii="Times New Roman" w:hAnsi="Times New Roman"/>
          <w:szCs w:val="24"/>
        </w:rPr>
        <w:t>（TAT-S</w:t>
      </w:r>
      <w:r>
        <w:rPr>
          <w:rFonts w:ascii="Times New Roman" w:hAnsi="Times New Roman"/>
          <w:szCs w:val="24"/>
        </w:rPr>
        <w:t>OD</w:t>
      </w:r>
      <w:r>
        <w:rPr>
          <w:rFonts w:hint="eastAsia" w:ascii="Times New Roman" w:hAnsi="Times New Roman"/>
          <w:szCs w:val="24"/>
        </w:rPr>
        <w:t>脂质体）组和阳性对照组。造模期间，正常组自由饮用灭菌水，其余组大鼠连续</w:t>
      </w:r>
      <w:r>
        <w:rPr>
          <w:rFonts w:ascii="Times New Roman" w:hAnsi="Times New Roman"/>
          <w:szCs w:val="24"/>
        </w:rPr>
        <w:t>7</w:t>
      </w:r>
      <w:r>
        <w:rPr>
          <w:rFonts w:hint="eastAsia" w:ascii="Times New Roman" w:hAnsi="Times New Roman"/>
          <w:szCs w:val="24"/>
        </w:rPr>
        <w:t>天</w:t>
      </w:r>
      <w:r>
        <w:rPr>
          <w:rFonts w:ascii="Times New Roman" w:hAnsi="Times New Roman"/>
          <w:szCs w:val="24"/>
        </w:rPr>
        <w:t>自由饮用3.0 %</w:t>
      </w:r>
      <w:r>
        <w:rPr>
          <w:rFonts w:hint="eastAsia" w:ascii="Times New Roman" w:hAnsi="Times New Roman"/>
          <w:szCs w:val="24"/>
        </w:rPr>
        <w:t>（</w:t>
      </w:r>
      <w:r>
        <w:rPr>
          <w:rFonts w:hint="eastAsia" w:ascii="Times New Roman" w:hAnsi="Times New Roman"/>
          <w:i/>
          <w:szCs w:val="24"/>
        </w:rPr>
        <w:t>m</w:t>
      </w:r>
      <w:r>
        <w:rPr>
          <w:rFonts w:ascii="Times New Roman" w:hAnsi="Times New Roman"/>
          <w:i/>
          <w:szCs w:val="24"/>
        </w:rPr>
        <w:t>/V</w:t>
      </w:r>
      <w:r>
        <w:rPr>
          <w:rFonts w:hint="eastAsia" w:ascii="Times New Roman" w:hAnsi="Times New Roman"/>
          <w:szCs w:val="24"/>
        </w:rPr>
        <w:t>）葡聚糖硫酸钠（dextra sulfate sodium，</w:t>
      </w:r>
      <w:r>
        <w:rPr>
          <w:rFonts w:ascii="Times New Roman" w:hAnsi="Times New Roman"/>
          <w:szCs w:val="24"/>
        </w:rPr>
        <w:t>DSS</w:t>
      </w:r>
      <w:r>
        <w:rPr>
          <w:rFonts w:hint="eastAsia" w:ascii="Times New Roman" w:hAnsi="Times New Roman"/>
          <w:szCs w:val="24"/>
        </w:rPr>
        <w:t>），构建急性结肠炎大鼠模型。造模成功后，连续7天分别给予每只用药大鼠</w:t>
      </w:r>
      <w:r>
        <w:rPr>
          <w:rFonts w:ascii="Times New Roman" w:hAnsi="Times New Roman"/>
          <w:szCs w:val="24"/>
        </w:rPr>
        <w:t>高、中、低剂量灌胃给药，所对应剂量分别为30000</w:t>
      </w:r>
      <w:r>
        <w:rPr>
          <w:rFonts w:hint="eastAsia" w:ascii="Times New Roman" w:hAnsi="Times New Roman"/>
          <w:szCs w:val="24"/>
        </w:rPr>
        <w:t xml:space="preserve"> </w:t>
      </w:r>
      <w:r>
        <w:rPr>
          <w:rFonts w:ascii="Times New Roman" w:hAnsi="Times New Roman"/>
          <w:szCs w:val="24"/>
        </w:rPr>
        <w:t>U/kg、10000 U/kg 及3000 U/kg</w:t>
      </w:r>
      <w:r>
        <w:rPr>
          <w:rFonts w:hint="eastAsia" w:ascii="Times New Roman" w:hAnsi="Times New Roman"/>
          <w:szCs w:val="24"/>
        </w:rPr>
        <w:t>。实</w:t>
      </w:r>
      <w:r>
        <w:rPr>
          <w:rFonts w:ascii="Times New Roman" w:hAnsi="Times New Roman"/>
          <w:szCs w:val="24"/>
        </w:rPr>
        <w:t>验分组如下：</w:t>
      </w:r>
      <w:r>
        <w:rPr>
          <w:rFonts w:hint="eastAsia" w:ascii="Times New Roman" w:hAnsi="Times New Roman"/>
          <w:szCs w:val="24"/>
        </w:rPr>
        <w:t>模型组，全程饮用含</w:t>
      </w:r>
      <w:r>
        <w:rPr>
          <w:rFonts w:ascii="Times New Roman" w:hAnsi="Times New Roman"/>
          <w:szCs w:val="24"/>
        </w:rPr>
        <w:t xml:space="preserve">3% DSS </w:t>
      </w:r>
      <w:r>
        <w:rPr>
          <w:rFonts w:hint="eastAsia" w:ascii="Times New Roman" w:hAnsi="Times New Roman"/>
          <w:szCs w:val="24"/>
        </w:rPr>
        <w:t>灭菌水</w:t>
      </w:r>
      <w:r>
        <w:rPr>
          <w:rFonts w:ascii="Times New Roman" w:hAnsi="Times New Roman"/>
          <w:szCs w:val="24"/>
        </w:rPr>
        <w:t>+灌胃</w:t>
      </w:r>
      <w:r>
        <w:rPr>
          <w:rFonts w:hint="eastAsia" w:ascii="Times New Roman" w:hAnsi="Times New Roman"/>
          <w:szCs w:val="24"/>
        </w:rPr>
        <w:t>生理盐水；正常组</w:t>
      </w:r>
      <w:r>
        <w:rPr>
          <w:rFonts w:ascii="Times New Roman" w:hAnsi="Times New Roman"/>
          <w:szCs w:val="24"/>
        </w:rPr>
        <w:t>，全程饮用不含DSS灭菌水+灌胃</w:t>
      </w:r>
      <w:r>
        <w:rPr>
          <w:rFonts w:hint="eastAsia" w:ascii="Times New Roman" w:hAnsi="Times New Roman"/>
          <w:szCs w:val="24"/>
        </w:rPr>
        <w:t>生理盐水；</w:t>
      </w:r>
      <w:r>
        <w:rPr>
          <w:rFonts w:ascii="Times New Roman" w:hAnsi="Times New Roman"/>
          <w:szCs w:val="24"/>
        </w:rPr>
        <w:t>L-TAT-SOD</w:t>
      </w:r>
      <w:r>
        <w:rPr>
          <w:rFonts w:hint="eastAsia" w:ascii="Times New Roman" w:hAnsi="Times New Roman"/>
          <w:szCs w:val="24"/>
        </w:rPr>
        <w:t>组，全程饮用含</w:t>
      </w:r>
      <w:r>
        <w:rPr>
          <w:rFonts w:ascii="Times New Roman" w:hAnsi="Times New Roman"/>
          <w:szCs w:val="24"/>
        </w:rPr>
        <w:t>3% DSS</w:t>
      </w:r>
      <w:r>
        <w:rPr>
          <w:rFonts w:hint="eastAsia" w:ascii="Times New Roman" w:hAnsi="Times New Roman"/>
          <w:szCs w:val="24"/>
        </w:rPr>
        <w:t>灭菌水+灌</w:t>
      </w:r>
      <w:r>
        <w:rPr>
          <w:rFonts w:hint="eastAsia" w:ascii="宋体" w:hAnsi="宋体"/>
          <w:szCs w:val="24"/>
        </w:rPr>
        <w:t>胃</w:t>
      </w:r>
      <w:r>
        <w:rPr>
          <w:rFonts w:ascii="Times New Roman" w:hAnsi="Times New Roman"/>
          <w:szCs w:val="24"/>
        </w:rPr>
        <w:t>L-TAT-SOD</w:t>
      </w:r>
      <w:r>
        <w:rPr>
          <w:rFonts w:ascii="Times New Roman" w:hAnsi="宋体"/>
          <w:szCs w:val="24"/>
        </w:rPr>
        <w:t>；阳性对照组，全程饮用含</w:t>
      </w:r>
      <w:r>
        <w:rPr>
          <w:rFonts w:ascii="Times New Roman" w:hAnsi="Times New Roman"/>
          <w:szCs w:val="24"/>
        </w:rPr>
        <w:t>3% DSS</w:t>
      </w:r>
      <w:r>
        <w:rPr>
          <w:rFonts w:ascii="Times New Roman" w:hAnsi="宋体"/>
          <w:szCs w:val="24"/>
        </w:rPr>
        <w:t>灭菌水</w:t>
      </w:r>
      <w:r>
        <w:rPr>
          <w:rFonts w:ascii="Times New Roman" w:hAnsi="Times New Roman"/>
          <w:szCs w:val="24"/>
        </w:rPr>
        <w:t>+</w:t>
      </w:r>
      <w:r>
        <w:rPr>
          <w:rFonts w:ascii="Times New Roman" w:hAnsi="宋体"/>
          <w:szCs w:val="24"/>
        </w:rPr>
        <w:t>灌胃</w:t>
      </w:r>
      <w:r>
        <w:rPr>
          <w:rFonts w:ascii="Times New Roman" w:hAnsi="Times New Roman"/>
          <w:color w:val="000000"/>
          <w:kern w:val="0"/>
          <w:szCs w:val="21"/>
        </w:rPr>
        <w:t>500 mg/kg SASP</w:t>
      </w:r>
      <w:r>
        <w:rPr>
          <w:rFonts w:hint="eastAsia" w:ascii="宋体" w:hAnsi="宋体"/>
          <w:color w:val="000000"/>
          <w:kern w:val="0"/>
          <w:szCs w:val="21"/>
        </w:rPr>
        <w:t>。</w:t>
      </w:r>
    </w:p>
    <w:p>
      <w:pPr>
        <w:rPr>
          <w:rFonts w:ascii="Times New Roman" w:hAnsi="Times New Roman"/>
          <w:szCs w:val="24"/>
        </w:rPr>
      </w:pPr>
    </w:p>
    <w:p>
      <w:pPr>
        <w:rPr>
          <w:rFonts w:ascii="Times New Roman" w:hAnsi="Times New Roman"/>
          <w:szCs w:val="24"/>
        </w:rPr>
      </w:pPr>
      <w:r>
        <w:rPr>
          <w:rFonts w:ascii="Times New Roman" w:hAnsi="Times New Roman"/>
          <w:b/>
          <w:szCs w:val="24"/>
        </w:rPr>
        <w:t xml:space="preserve">1.2 </w:t>
      </w:r>
      <w:r>
        <w:rPr>
          <w:rFonts w:hint="eastAsia" w:ascii="Times New Roman" w:hAnsi="Times New Roman"/>
          <w:b/>
          <w:szCs w:val="24"/>
        </w:rPr>
        <w:t>结肠损伤评价（D</w:t>
      </w:r>
      <w:r>
        <w:rPr>
          <w:rFonts w:ascii="Times New Roman" w:hAnsi="Times New Roman"/>
          <w:b/>
          <w:szCs w:val="24"/>
        </w:rPr>
        <w:t>AI</w:t>
      </w:r>
      <w:r>
        <w:rPr>
          <w:rFonts w:hint="eastAsia" w:ascii="Times New Roman" w:hAnsi="Times New Roman"/>
          <w:b/>
          <w:szCs w:val="24"/>
        </w:rPr>
        <w:t>评分）</w:t>
      </w:r>
    </w:p>
    <w:p>
      <w:pPr>
        <w:rPr>
          <w:rFonts w:ascii="Times New Roman" w:hAnsi="Times New Roman"/>
          <w:szCs w:val="24"/>
        </w:rPr>
      </w:pPr>
      <w:r>
        <w:rPr>
          <w:rFonts w:hint="eastAsia" w:ascii="Times New Roman" w:hAnsi="Times New Roman"/>
          <w:szCs w:val="24"/>
        </w:rPr>
        <w:t xml:space="preserve">    通过疾病活动指数（</w:t>
      </w:r>
      <w:r>
        <w:rPr>
          <w:rFonts w:hint="eastAsia" w:ascii="Times New Roman" w:hAnsi="Times New Roman"/>
          <w:szCs w:val="24"/>
          <w:u w:val="single"/>
        </w:rPr>
        <w:t>d</w:t>
      </w:r>
      <w:r>
        <w:rPr>
          <w:rFonts w:ascii="Times New Roman" w:hAnsi="Times New Roman"/>
          <w:szCs w:val="24"/>
          <w:u w:val="single"/>
        </w:rPr>
        <w:t>isease activity index</w:t>
      </w:r>
      <w:r>
        <w:rPr>
          <w:rFonts w:hint="eastAsia" w:ascii="Times New Roman" w:hAnsi="Times New Roman"/>
          <w:szCs w:val="24"/>
          <w:u w:val="single"/>
        </w:rPr>
        <w:t>，</w:t>
      </w:r>
      <w:r>
        <w:rPr>
          <w:rFonts w:ascii="Times New Roman" w:hAnsi="Times New Roman"/>
          <w:szCs w:val="24"/>
        </w:rPr>
        <w:t>DAI</w:t>
      </w:r>
      <w:r>
        <w:rPr>
          <w:rFonts w:hint="eastAsia" w:ascii="Times New Roman" w:hAnsi="Times New Roman"/>
          <w:szCs w:val="24"/>
        </w:rPr>
        <w:t>）</w:t>
      </w:r>
      <w:r>
        <w:rPr>
          <w:rFonts w:ascii="Times New Roman" w:hAnsi="Times New Roman"/>
          <w:szCs w:val="24"/>
        </w:rPr>
        <w:t>评价</w:t>
      </w:r>
      <w:r>
        <w:rPr>
          <w:rFonts w:hint="eastAsia" w:ascii="Times New Roman" w:hAnsi="Times New Roman"/>
          <w:szCs w:val="24"/>
        </w:rPr>
        <w:t>大</w:t>
      </w:r>
      <w:r>
        <w:rPr>
          <w:rFonts w:ascii="Times New Roman" w:hAnsi="Times New Roman"/>
          <w:szCs w:val="24"/>
        </w:rPr>
        <w:t>鼠的</w:t>
      </w:r>
      <w:r>
        <w:rPr>
          <w:rFonts w:hint="eastAsia" w:ascii="Times New Roman" w:hAnsi="Times New Roman"/>
          <w:szCs w:val="24"/>
        </w:rPr>
        <w:t>结肠损伤情况</w:t>
      </w:r>
      <w:r>
        <w:rPr>
          <w:rFonts w:ascii="Times New Roman" w:hAnsi="Times New Roman"/>
          <w:szCs w:val="24"/>
        </w:rPr>
        <w:t>：每天记录大鼠体重、排便情况，评分后取平均值得出结肠炎模型大鼠DAI</w:t>
      </w:r>
      <w:r>
        <w:rPr>
          <w:rFonts w:hint="eastAsia" w:ascii="Times New Roman" w:hAnsi="Times New Roman"/>
          <w:szCs w:val="24"/>
        </w:rPr>
        <w:t>评分</w:t>
      </w:r>
      <w:r>
        <w:rPr>
          <w:rFonts w:ascii="Times New Roman" w:hAnsi="Times New Roman"/>
          <w:szCs w:val="24"/>
        </w:rPr>
        <w:t>以及其变化趋势。</w:t>
      </w:r>
    </w:p>
    <w:p>
      <w:pPr>
        <w:rPr>
          <w:rFonts w:ascii="Times New Roman" w:hAnsi="Times New Roman"/>
          <w:szCs w:val="24"/>
        </w:rPr>
      </w:pPr>
    </w:p>
    <w:p>
      <w:pPr>
        <w:jc w:val="center"/>
        <w:rPr>
          <w:rFonts w:ascii="宋体" w:hAnsi="宋体"/>
          <w:sz w:val="24"/>
          <w:szCs w:val="24"/>
        </w:rPr>
      </w:pPr>
      <w:r>
        <w:rPr>
          <w:rFonts w:hint="eastAsia" w:ascii="宋体" w:hAnsi="宋体"/>
          <w:sz w:val="24"/>
          <w:szCs w:val="24"/>
        </w:rPr>
        <w:t xml:space="preserve">表1 </w:t>
      </w:r>
      <w:r>
        <w:rPr>
          <w:rFonts w:ascii="宋体" w:hAnsi="宋体"/>
          <w:sz w:val="24"/>
          <w:szCs w:val="24"/>
        </w:rPr>
        <w:t>DAI</w:t>
      </w:r>
      <w:r>
        <w:rPr>
          <w:rFonts w:hint="eastAsia" w:ascii="宋体" w:hAnsi="宋体"/>
          <w:sz w:val="24"/>
          <w:szCs w:val="24"/>
        </w:rPr>
        <w:t>评分</w:t>
      </w:r>
    </w:p>
    <w:p>
      <w:pPr>
        <w:jc w:val="center"/>
        <w:rPr>
          <w:rFonts w:ascii="宋体" w:hAnsi="宋体"/>
          <w:sz w:val="24"/>
          <w:szCs w:val="24"/>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Borders>
              <w:top w:val="single" w:color="auto" w:sz="12" w:space="0"/>
              <w:bottom w:val="single" w:color="auto" w:sz="6" w:space="0"/>
            </w:tcBorders>
          </w:tcPr>
          <w:p>
            <w:pPr>
              <w:jc w:val="center"/>
              <w:rPr>
                <w:rFonts w:ascii="宋体" w:hAnsi="宋体"/>
                <w:kern w:val="0"/>
                <w:sz w:val="24"/>
                <w:szCs w:val="24"/>
              </w:rPr>
            </w:pPr>
            <w:r>
              <w:rPr>
                <w:rFonts w:hint="eastAsia" w:ascii="宋体" w:hAnsi="宋体"/>
                <w:kern w:val="0"/>
                <w:sz w:val="24"/>
                <w:szCs w:val="24"/>
              </w:rPr>
              <w:t>评分</w:t>
            </w:r>
          </w:p>
        </w:tc>
        <w:tc>
          <w:tcPr>
            <w:tcW w:w="2074" w:type="dxa"/>
            <w:tcBorders>
              <w:top w:val="single" w:color="auto" w:sz="12" w:space="0"/>
              <w:bottom w:val="single" w:color="auto" w:sz="6" w:space="0"/>
            </w:tcBorders>
          </w:tcPr>
          <w:p>
            <w:pPr>
              <w:jc w:val="center"/>
              <w:rPr>
                <w:rFonts w:ascii="宋体" w:hAnsi="宋体"/>
                <w:kern w:val="0"/>
                <w:sz w:val="24"/>
                <w:szCs w:val="24"/>
              </w:rPr>
            </w:pPr>
            <w:r>
              <w:rPr>
                <w:rFonts w:ascii="宋体" w:hAnsi="宋体"/>
                <w:kern w:val="0"/>
                <w:sz w:val="24"/>
                <w:szCs w:val="24"/>
              </w:rPr>
              <w:t>体重</w:t>
            </w:r>
            <w:r>
              <w:rPr>
                <w:rFonts w:hint="eastAsia" w:ascii="宋体" w:hAnsi="宋体"/>
                <w:kern w:val="0"/>
                <w:sz w:val="24"/>
                <w:szCs w:val="24"/>
              </w:rPr>
              <w:t>下降</w:t>
            </w:r>
          </w:p>
        </w:tc>
        <w:tc>
          <w:tcPr>
            <w:tcW w:w="2074" w:type="dxa"/>
            <w:tcBorders>
              <w:top w:val="single" w:color="auto" w:sz="12" w:space="0"/>
              <w:bottom w:val="single" w:color="auto" w:sz="6" w:space="0"/>
            </w:tcBorders>
          </w:tcPr>
          <w:p>
            <w:pPr>
              <w:jc w:val="center"/>
              <w:rPr>
                <w:rFonts w:ascii="宋体" w:hAnsi="宋体"/>
                <w:kern w:val="0"/>
                <w:sz w:val="24"/>
                <w:szCs w:val="24"/>
              </w:rPr>
            </w:pPr>
            <w:r>
              <w:rPr>
                <w:rFonts w:hint="eastAsia" w:ascii="宋体" w:hAnsi="宋体"/>
                <w:kern w:val="0"/>
                <w:sz w:val="24"/>
                <w:szCs w:val="24"/>
              </w:rPr>
              <w:t>大便形态</w:t>
            </w:r>
          </w:p>
        </w:tc>
        <w:tc>
          <w:tcPr>
            <w:tcW w:w="2074" w:type="dxa"/>
            <w:tcBorders>
              <w:top w:val="single" w:color="auto" w:sz="12" w:space="0"/>
              <w:bottom w:val="single" w:color="auto" w:sz="6" w:space="0"/>
            </w:tcBorders>
          </w:tcPr>
          <w:p>
            <w:pPr>
              <w:jc w:val="center"/>
              <w:rPr>
                <w:rFonts w:ascii="宋体" w:hAnsi="宋体"/>
                <w:kern w:val="0"/>
                <w:sz w:val="24"/>
                <w:szCs w:val="24"/>
              </w:rPr>
            </w:pPr>
            <w:r>
              <w:rPr>
                <w:rFonts w:hint="eastAsia" w:ascii="宋体" w:hAnsi="宋体"/>
                <w:kern w:val="0"/>
                <w:sz w:val="24"/>
                <w:szCs w:val="24"/>
              </w:rPr>
              <w:t>血便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Borders>
              <w:top w:val="single" w:color="auto" w:sz="6" w:space="0"/>
            </w:tcBorders>
          </w:tcPr>
          <w:p>
            <w:pPr>
              <w:jc w:val="center"/>
              <w:rPr>
                <w:rFonts w:ascii="宋体" w:hAnsi="宋体"/>
                <w:kern w:val="0"/>
                <w:sz w:val="24"/>
                <w:szCs w:val="24"/>
              </w:rPr>
            </w:pPr>
            <w:r>
              <w:rPr>
                <w:rFonts w:ascii="宋体" w:hAnsi="宋体"/>
                <w:kern w:val="0"/>
                <w:sz w:val="24"/>
                <w:szCs w:val="24"/>
              </w:rPr>
              <w:t>0</w:t>
            </w:r>
          </w:p>
        </w:tc>
        <w:tc>
          <w:tcPr>
            <w:tcW w:w="2074" w:type="dxa"/>
            <w:tcBorders>
              <w:top w:val="single" w:color="auto" w:sz="6" w:space="0"/>
            </w:tcBorders>
          </w:tcPr>
          <w:p>
            <w:pPr>
              <w:jc w:val="center"/>
              <w:rPr>
                <w:rFonts w:ascii="宋体" w:hAnsi="宋体"/>
                <w:kern w:val="0"/>
                <w:sz w:val="24"/>
                <w:szCs w:val="24"/>
              </w:rPr>
            </w:pPr>
            <w:r>
              <w:rPr>
                <w:rFonts w:ascii="宋体" w:hAnsi="宋体"/>
                <w:kern w:val="0"/>
                <w:sz w:val="24"/>
                <w:szCs w:val="24"/>
              </w:rPr>
              <w:t>0</w:t>
            </w:r>
          </w:p>
        </w:tc>
        <w:tc>
          <w:tcPr>
            <w:tcW w:w="2074" w:type="dxa"/>
            <w:tcBorders>
              <w:top w:val="single" w:color="auto" w:sz="6" w:space="0"/>
            </w:tcBorders>
          </w:tcPr>
          <w:p>
            <w:pPr>
              <w:jc w:val="center"/>
              <w:rPr>
                <w:rFonts w:ascii="宋体" w:hAnsi="宋体"/>
                <w:kern w:val="0"/>
                <w:sz w:val="24"/>
                <w:szCs w:val="24"/>
              </w:rPr>
            </w:pPr>
            <w:r>
              <w:rPr>
                <w:rFonts w:hint="eastAsia" w:ascii="宋体" w:hAnsi="宋体"/>
                <w:kern w:val="0"/>
                <w:sz w:val="24"/>
                <w:szCs w:val="24"/>
              </w:rPr>
              <w:t>正常</w:t>
            </w:r>
          </w:p>
        </w:tc>
        <w:tc>
          <w:tcPr>
            <w:tcW w:w="2074" w:type="dxa"/>
            <w:tcBorders>
              <w:top w:val="single" w:color="auto" w:sz="6" w:space="0"/>
            </w:tcBorders>
          </w:tcPr>
          <w:p>
            <w:pPr>
              <w:jc w:val="center"/>
              <w:rPr>
                <w:rFonts w:ascii="宋体" w:hAnsi="宋体"/>
                <w:kern w:val="0"/>
                <w:sz w:val="24"/>
                <w:szCs w:val="24"/>
              </w:rPr>
            </w:pPr>
            <w:r>
              <w:rPr>
                <w:rFonts w:hint="eastAsia" w:ascii="宋体" w:hAnsi="宋体"/>
                <w:kern w:val="0"/>
                <w:sz w:val="24"/>
                <w:szCs w:val="24"/>
              </w:rPr>
              <w:t>正常</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1</w:t>
            </w:r>
          </w:p>
        </w:tc>
        <w:tc>
          <w:tcPr>
            <w:tcW w:w="2074" w:type="dxa"/>
          </w:tcPr>
          <w:p>
            <w:pPr>
              <w:jc w:val="center"/>
              <w:rPr>
                <w:rFonts w:ascii="宋体" w:hAnsi="宋体"/>
                <w:kern w:val="0"/>
                <w:sz w:val="24"/>
                <w:szCs w:val="24"/>
              </w:rPr>
            </w:pPr>
            <w:r>
              <w:rPr>
                <w:rFonts w:ascii="宋体" w:hAnsi="宋体"/>
                <w:kern w:val="0"/>
                <w:sz w:val="24"/>
                <w:szCs w:val="24"/>
              </w:rPr>
              <w:t>1~5</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松散</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隐血阳性</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2</w:t>
            </w:r>
          </w:p>
        </w:tc>
        <w:tc>
          <w:tcPr>
            <w:tcW w:w="2074" w:type="dxa"/>
          </w:tcPr>
          <w:p>
            <w:pPr>
              <w:jc w:val="center"/>
              <w:rPr>
                <w:rFonts w:ascii="宋体" w:hAnsi="宋体"/>
                <w:kern w:val="0"/>
                <w:sz w:val="24"/>
                <w:szCs w:val="24"/>
              </w:rPr>
            </w:pPr>
            <w:r>
              <w:rPr>
                <w:rFonts w:ascii="宋体" w:hAnsi="宋体"/>
                <w:kern w:val="0"/>
                <w:sz w:val="24"/>
                <w:szCs w:val="24"/>
              </w:rPr>
              <w:t>5~10</w:t>
            </w:r>
          </w:p>
        </w:tc>
        <w:tc>
          <w:tcPr>
            <w:tcW w:w="2074" w:type="dxa"/>
            <w:vMerge w:val="continue"/>
            <w:vAlign w:val="center"/>
          </w:tcPr>
          <w:p>
            <w:pPr>
              <w:jc w:val="center"/>
              <w:rPr>
                <w:rFonts w:ascii="宋体" w:hAnsi="宋体"/>
                <w:kern w:val="0"/>
                <w:sz w:val="24"/>
                <w:szCs w:val="24"/>
              </w:rPr>
            </w:pPr>
          </w:p>
        </w:tc>
        <w:tc>
          <w:tcPr>
            <w:tcW w:w="2074" w:type="dxa"/>
            <w:vMerge w:val="continue"/>
            <w:vAlign w:val="center"/>
          </w:tcPr>
          <w:p>
            <w:pPr>
              <w:jc w:val="center"/>
              <w:rPr>
                <w:rFonts w:ascii="宋体" w:hAnsi="宋体"/>
                <w:kern w:val="0"/>
                <w:sz w:val="24"/>
                <w:szCs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3</w:t>
            </w:r>
          </w:p>
        </w:tc>
        <w:tc>
          <w:tcPr>
            <w:tcW w:w="2074" w:type="dxa"/>
          </w:tcPr>
          <w:p>
            <w:pPr>
              <w:jc w:val="center"/>
              <w:rPr>
                <w:rFonts w:ascii="宋体" w:hAnsi="宋体"/>
                <w:kern w:val="0"/>
                <w:sz w:val="24"/>
                <w:szCs w:val="24"/>
              </w:rPr>
            </w:pPr>
            <w:r>
              <w:rPr>
                <w:rFonts w:ascii="宋体" w:hAnsi="宋体"/>
                <w:kern w:val="0"/>
                <w:sz w:val="24"/>
                <w:szCs w:val="24"/>
              </w:rPr>
              <w:t>10~15</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腹泻</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肉眼血便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4</w:t>
            </w:r>
          </w:p>
        </w:tc>
        <w:tc>
          <w:tcPr>
            <w:tcW w:w="2074" w:type="dxa"/>
          </w:tcPr>
          <w:p>
            <w:pPr>
              <w:jc w:val="center"/>
              <w:rPr>
                <w:rFonts w:ascii="宋体" w:hAnsi="宋体"/>
                <w:kern w:val="0"/>
                <w:sz w:val="24"/>
                <w:szCs w:val="24"/>
              </w:rPr>
            </w:pPr>
            <w:r>
              <w:rPr>
                <w:rFonts w:hint="eastAsia" w:ascii="宋体" w:hAnsi="宋体"/>
                <w:kern w:val="0"/>
                <w:sz w:val="24"/>
                <w:szCs w:val="24"/>
              </w:rPr>
              <w:t>＞</w:t>
            </w:r>
            <w:r>
              <w:rPr>
                <w:rFonts w:ascii="宋体" w:hAnsi="宋体"/>
                <w:kern w:val="0"/>
                <w:sz w:val="24"/>
                <w:szCs w:val="24"/>
              </w:rPr>
              <w:t>15</w:t>
            </w:r>
          </w:p>
        </w:tc>
        <w:tc>
          <w:tcPr>
            <w:tcW w:w="2074" w:type="dxa"/>
            <w:vMerge w:val="continue"/>
            <w:vAlign w:val="center"/>
          </w:tcPr>
          <w:p>
            <w:pPr>
              <w:jc w:val="center"/>
              <w:rPr>
                <w:rFonts w:ascii="宋体" w:hAnsi="宋体"/>
                <w:kern w:val="0"/>
                <w:sz w:val="24"/>
                <w:szCs w:val="24"/>
              </w:rPr>
            </w:pPr>
          </w:p>
        </w:tc>
        <w:tc>
          <w:tcPr>
            <w:tcW w:w="2074" w:type="dxa"/>
            <w:vMerge w:val="continue"/>
            <w:vAlign w:val="center"/>
          </w:tcPr>
          <w:p>
            <w:pPr>
              <w:jc w:val="center"/>
              <w:rPr>
                <w:rFonts w:ascii="宋体" w:hAnsi="宋体"/>
                <w:kern w:val="0"/>
                <w:sz w:val="24"/>
                <w:szCs w:val="24"/>
              </w:rPr>
            </w:pPr>
          </w:p>
        </w:tc>
      </w:tr>
    </w:tbl>
    <w:p>
      <w:pPr>
        <w:rPr>
          <w:rFonts w:ascii="宋体" w:hAnsi="宋体"/>
          <w:sz w:val="24"/>
          <w:szCs w:val="24"/>
        </w:rPr>
      </w:pPr>
    </w:p>
    <w:p>
      <w:pPr>
        <w:rPr>
          <w:rFonts w:ascii="Times New Roman" w:hAnsi="Times New Roman"/>
          <w:szCs w:val="24"/>
        </w:rPr>
      </w:pPr>
      <w:r>
        <w:rPr>
          <w:rFonts w:hint="eastAsia" w:ascii="Times New Roman" w:hAnsi="Times New Roman"/>
          <w:szCs w:val="24"/>
        </w:rPr>
        <w:t>D</w:t>
      </w:r>
      <w:r>
        <w:rPr>
          <w:rFonts w:ascii="Times New Roman" w:hAnsi="Times New Roman"/>
          <w:szCs w:val="24"/>
        </w:rPr>
        <w:t>AI</w:t>
      </w:r>
      <w:r>
        <w:rPr>
          <w:rFonts w:hint="eastAsia" w:ascii="Times New Roman" w:hAnsi="Times New Roman"/>
          <w:szCs w:val="24"/>
        </w:rPr>
        <w:t>评分的计算公式为：</w:t>
      </w:r>
    </w:p>
    <w:p>
      <w:pPr>
        <w:rPr>
          <w:rFonts w:ascii="Times New Roman" w:hAnsi="Times New Roman"/>
          <w:szCs w:val="24"/>
        </w:rPr>
      </w:pPr>
      <w:r>
        <w:rPr>
          <w:rFonts w:hint="eastAsia" w:ascii="Times New Roman" w:hAnsi="Times New Roman"/>
          <w:szCs w:val="24"/>
        </w:rPr>
        <w:t>DAI=（体重下降+大便形态+血便）</w:t>
      </w:r>
      <w:r>
        <w:rPr>
          <w:rFonts w:ascii="Times New Roman" w:hAnsi="Times New Roman"/>
          <w:szCs w:val="24"/>
        </w:rPr>
        <w:t xml:space="preserve">÷ </w:t>
      </w:r>
      <w:r>
        <w:rPr>
          <w:rFonts w:hint="eastAsia" w:ascii="Times New Roman" w:hAnsi="Times New Roman"/>
          <w:szCs w:val="24"/>
        </w:rPr>
        <w:t>3。</w:t>
      </w:r>
      <w:r>
        <w:rPr>
          <w:rFonts w:ascii="Times New Roman" w:hAnsi="Times New Roman"/>
          <w:szCs w:val="24"/>
        </w:rPr>
        <w:tab/>
      </w:r>
    </w:p>
    <w:p>
      <w:pPr>
        <w:rPr>
          <w:rFonts w:ascii="Times New Roman" w:hAnsi="Times New Roman"/>
          <w:szCs w:val="24"/>
        </w:rPr>
      </w:pPr>
    </w:p>
    <w:p>
      <w:pPr>
        <w:rPr>
          <w:rFonts w:ascii="Times New Roman" w:hAnsi="Times New Roman"/>
          <w:b/>
          <w:szCs w:val="24"/>
        </w:rPr>
      </w:pPr>
      <w:r>
        <w:rPr>
          <w:rFonts w:ascii="Times New Roman" w:hAnsi="Times New Roman"/>
          <w:b/>
          <w:szCs w:val="24"/>
        </w:rPr>
        <w:t>1.</w:t>
      </w:r>
      <w:r>
        <w:rPr>
          <w:rFonts w:hint="eastAsia" w:ascii="Times New Roman" w:hAnsi="Times New Roman"/>
          <w:b/>
          <w:szCs w:val="24"/>
        </w:rPr>
        <w:t>3</w:t>
      </w:r>
      <w:r>
        <w:rPr>
          <w:rFonts w:ascii="Times New Roman" w:hAnsi="Times New Roman"/>
          <w:b/>
          <w:szCs w:val="24"/>
        </w:rPr>
        <w:t xml:space="preserve"> </w:t>
      </w:r>
      <w:r>
        <w:rPr>
          <w:rFonts w:hint="eastAsia" w:ascii="Times New Roman" w:hAnsi="Times New Roman"/>
          <w:b/>
          <w:szCs w:val="24"/>
        </w:rPr>
        <w:t>结肠密度的测定</w:t>
      </w:r>
    </w:p>
    <w:p>
      <w:pPr>
        <w:rPr>
          <w:rFonts w:ascii="Times New Roman" w:hAnsi="Times New Roman"/>
          <w:szCs w:val="24"/>
        </w:rPr>
      </w:pPr>
      <w:r>
        <w:rPr>
          <w:rFonts w:hint="eastAsia" w:ascii="Times New Roman" w:hAnsi="Times New Roman"/>
          <w:szCs w:val="24"/>
        </w:rPr>
        <w:t xml:space="preserve">    给药7天后，解剖大鼠腹腔，找到结肠，位于回盲以下 2 cm处向下取材约10 cm至肛门以上2~3 cm。然后立即称重、测量长度。注意：取材过程中尽量不要破坏组织的完整性，尽量避免拉扯组织，保证组织的本身长度。</w:t>
      </w:r>
    </w:p>
    <w:p>
      <w:pPr>
        <w:rPr>
          <w:rFonts w:ascii="Times New Roman" w:hAnsi="Times New Roman"/>
          <w:szCs w:val="24"/>
        </w:rPr>
      </w:pPr>
    </w:p>
    <w:p>
      <w:pPr>
        <w:rPr>
          <w:rFonts w:ascii="Times New Roman" w:hAnsi="Times New Roman"/>
          <w:szCs w:val="24"/>
        </w:rPr>
      </w:pPr>
      <w:r>
        <w:rPr>
          <w:rFonts w:hint="eastAsia" w:ascii="Times New Roman" w:hAnsi="Times New Roman"/>
          <w:szCs w:val="24"/>
        </w:rPr>
        <w:t>结肠密度以所取结肠的重量与长度的比值计算。</w:t>
      </w:r>
    </w:p>
    <w:p>
      <w:pPr>
        <w:rPr>
          <w:rFonts w:ascii="Times New Roman" w:hAnsi="Times New Roman"/>
          <w:szCs w:val="24"/>
        </w:rPr>
      </w:pPr>
      <w:r>
        <w:rPr>
          <w:rFonts w:hint="eastAsia" w:ascii="Times New Roman" w:hAnsi="Times New Roman"/>
          <w:szCs w:val="24"/>
        </w:rPr>
        <w:t>结肠密度（</w:t>
      </w:r>
      <w:r>
        <w:rPr>
          <w:rFonts w:ascii="Times New Roman" w:hAnsi="Times New Roman"/>
          <w:szCs w:val="24"/>
        </w:rPr>
        <w:t>g/mL</w:t>
      </w:r>
      <w:r>
        <w:rPr>
          <w:rFonts w:hint="eastAsia" w:ascii="Times New Roman" w:hAnsi="Times New Roman"/>
          <w:szCs w:val="24"/>
        </w:rPr>
        <w:t>）＝组织重量（</w:t>
      </w:r>
      <w:r>
        <w:rPr>
          <w:rFonts w:ascii="Times New Roman" w:hAnsi="Times New Roman"/>
          <w:szCs w:val="24"/>
        </w:rPr>
        <w:t>g</w:t>
      </w:r>
      <w:r>
        <w:rPr>
          <w:rFonts w:hint="eastAsia" w:ascii="Times New Roman" w:hAnsi="Times New Roman"/>
          <w:szCs w:val="24"/>
        </w:rPr>
        <w:t>）</w:t>
      </w:r>
      <w:r>
        <w:rPr>
          <w:rFonts w:ascii="Times New Roman" w:hAnsi="Times New Roman"/>
          <w:szCs w:val="24"/>
        </w:rPr>
        <w:t xml:space="preserve">÷ </w:t>
      </w:r>
      <w:r>
        <w:rPr>
          <w:rFonts w:hint="eastAsia" w:ascii="Times New Roman" w:hAnsi="Times New Roman"/>
          <w:szCs w:val="24"/>
        </w:rPr>
        <w:t>组织长度（</w:t>
      </w:r>
      <w:r>
        <w:rPr>
          <w:rFonts w:ascii="Times New Roman" w:hAnsi="Times New Roman"/>
          <w:szCs w:val="24"/>
        </w:rPr>
        <w:t>cm</w:t>
      </w:r>
      <w:r>
        <w:rPr>
          <w:rFonts w:hint="eastAsia" w:ascii="Times New Roman" w:hAnsi="Times New Roman"/>
          <w:szCs w:val="24"/>
        </w:rPr>
        <w:t>）</w:t>
      </w:r>
      <w:r>
        <w:rPr>
          <w:rFonts w:ascii="Times New Roman" w:hAnsi="Times New Roman"/>
          <w:szCs w:val="24"/>
        </w:rPr>
        <w:tab/>
      </w:r>
    </w:p>
    <w:p>
      <w:pPr>
        <w:rPr>
          <w:rFonts w:ascii="Times New Roman" w:hAnsi="Times New Roman"/>
          <w:szCs w:val="24"/>
        </w:rPr>
      </w:pPr>
    </w:p>
    <w:p>
      <w:pPr>
        <w:rPr>
          <w:rFonts w:ascii="Times New Roman" w:hAnsi="Times New Roman"/>
          <w:b/>
          <w:szCs w:val="24"/>
        </w:rPr>
      </w:pPr>
      <w:r>
        <w:rPr>
          <w:rFonts w:ascii="Times New Roman" w:hAnsi="Times New Roman"/>
          <w:b/>
          <w:szCs w:val="24"/>
        </w:rPr>
        <w:t>1.</w:t>
      </w:r>
      <w:r>
        <w:rPr>
          <w:rFonts w:hint="eastAsia" w:ascii="Times New Roman" w:hAnsi="Times New Roman"/>
          <w:b/>
          <w:szCs w:val="24"/>
        </w:rPr>
        <w:t>4</w:t>
      </w:r>
      <w:r>
        <w:rPr>
          <w:rFonts w:ascii="Times New Roman" w:hAnsi="Times New Roman"/>
          <w:b/>
          <w:szCs w:val="24"/>
        </w:rPr>
        <w:t xml:space="preserve"> </w:t>
      </w:r>
      <w:r>
        <w:rPr>
          <w:rFonts w:hint="eastAsia" w:ascii="Times New Roman" w:hAnsi="Times New Roman"/>
          <w:b/>
          <w:szCs w:val="24"/>
        </w:rPr>
        <w:t>结肠组织的H</w:t>
      </w:r>
      <w:r>
        <w:rPr>
          <w:rFonts w:ascii="Times New Roman" w:hAnsi="Times New Roman"/>
          <w:b/>
          <w:szCs w:val="24"/>
        </w:rPr>
        <w:t>E</w:t>
      </w:r>
      <w:r>
        <w:rPr>
          <w:rFonts w:hint="eastAsia" w:ascii="Times New Roman" w:hAnsi="Times New Roman"/>
          <w:b/>
          <w:szCs w:val="24"/>
        </w:rPr>
        <w:t>染色</w:t>
      </w:r>
    </w:p>
    <w:p>
      <w:pPr>
        <w:rPr>
          <w:rFonts w:ascii="Times New Roman" w:hAnsi="Times New Roman"/>
          <w:szCs w:val="24"/>
        </w:rPr>
      </w:pPr>
      <w:r>
        <w:rPr>
          <w:rFonts w:hint="eastAsia" w:ascii="Times New Roman" w:hAnsi="Times New Roman"/>
          <w:szCs w:val="24"/>
        </w:rPr>
        <w:t xml:space="preserve">    取大鼠结肠组织做固定、脱水、石蜡包埋、切片、H</w:t>
      </w:r>
      <w:r>
        <w:rPr>
          <w:rFonts w:ascii="Times New Roman" w:hAnsi="Times New Roman"/>
          <w:szCs w:val="24"/>
        </w:rPr>
        <w:t>E染色</w:t>
      </w:r>
      <w:r>
        <w:rPr>
          <w:rFonts w:hint="eastAsia" w:ascii="Times New Roman" w:hAnsi="Times New Roman"/>
          <w:szCs w:val="24"/>
        </w:rPr>
        <w:t>，再于显微镜下观察。</w:t>
      </w:r>
      <w:r>
        <w:rPr>
          <w:rFonts w:ascii="Times New Roman" w:hAnsi="Times New Roman"/>
          <w:szCs w:val="24"/>
        </w:rPr>
        <w:t>具体步骤</w:t>
      </w:r>
      <w:r>
        <w:rPr>
          <w:rFonts w:hint="eastAsia" w:ascii="Times New Roman" w:hAnsi="Times New Roman"/>
          <w:szCs w:val="24"/>
        </w:rPr>
        <w:t>见参考文献</w:t>
      </w:r>
      <w:r>
        <w:rPr>
          <w:rFonts w:ascii="Times New Roman" w:hAnsi="Times New Roman"/>
          <w:color w:val="080000"/>
          <w:kern w:val="0"/>
          <w:szCs w:val="24"/>
          <w:vertAlign w:val="superscript"/>
        </w:rPr>
        <w:t>[26]</w:t>
      </w:r>
      <w:r>
        <w:rPr>
          <w:rFonts w:ascii="Times New Roman" w:hAnsi="Times New Roman"/>
          <w:szCs w:val="24"/>
        </w:rPr>
        <w:t>。</w:t>
      </w:r>
    </w:p>
    <w:p>
      <w:pPr>
        <w:rPr>
          <w:rFonts w:ascii="Times New Roman" w:hAnsi="Times New Roman"/>
          <w:szCs w:val="24"/>
        </w:rPr>
      </w:pPr>
      <w:r>
        <w:rPr>
          <w:rFonts w:ascii="Times New Roman" w:hAnsi="Times New Roman"/>
          <w:szCs w:val="24"/>
        </w:rPr>
        <w:tab/>
      </w:r>
    </w:p>
    <w:p>
      <w:pPr>
        <w:rPr>
          <w:rFonts w:ascii="Times New Roman" w:hAnsi="Times New Roman"/>
          <w:b/>
          <w:szCs w:val="24"/>
        </w:rPr>
      </w:pPr>
      <w:r>
        <w:rPr>
          <w:rFonts w:ascii="Times New Roman" w:hAnsi="Times New Roman"/>
          <w:b/>
          <w:szCs w:val="24"/>
        </w:rPr>
        <w:t>1.</w:t>
      </w:r>
      <w:r>
        <w:rPr>
          <w:rFonts w:hint="eastAsia" w:ascii="Times New Roman" w:hAnsi="Times New Roman"/>
          <w:b/>
          <w:szCs w:val="24"/>
        </w:rPr>
        <w:t>5</w:t>
      </w:r>
      <w:r>
        <w:rPr>
          <w:rFonts w:ascii="Times New Roman" w:hAnsi="Times New Roman"/>
          <w:b/>
          <w:szCs w:val="24"/>
        </w:rPr>
        <w:t xml:space="preserve"> </w:t>
      </w:r>
      <w:r>
        <w:rPr>
          <w:rFonts w:hint="eastAsia" w:ascii="Times New Roman" w:hAnsi="Times New Roman"/>
          <w:b/>
          <w:szCs w:val="24"/>
        </w:rPr>
        <w:t>血清及</w:t>
      </w:r>
      <w:r>
        <w:rPr>
          <w:rFonts w:hint="eastAsia" w:ascii="宋体" w:hAnsi="宋体"/>
          <w:b/>
          <w:szCs w:val="21"/>
        </w:rPr>
        <w:t>结肠组织</w:t>
      </w:r>
      <w:r>
        <w:rPr>
          <w:rFonts w:hint="eastAsia" w:ascii="Times New Roman" w:hAnsi="Times New Roman"/>
          <w:b/>
          <w:szCs w:val="24"/>
        </w:rPr>
        <w:t>样品制备</w:t>
      </w:r>
    </w:p>
    <w:p>
      <w:pPr>
        <w:rPr>
          <w:rFonts w:ascii="Times New Roman" w:hAnsi="Times New Roman"/>
          <w:szCs w:val="24"/>
        </w:rPr>
      </w:pPr>
      <w:r>
        <w:rPr>
          <w:rFonts w:hint="eastAsia" w:ascii="Times New Roman" w:hAnsi="Times New Roman"/>
          <w:szCs w:val="24"/>
        </w:rPr>
        <w:t xml:space="preserve">    从大鼠腹主动脉取血并按照盐酸羟胺法测血清中酶活与炎症细胞因子，</w:t>
      </w:r>
      <w:r>
        <w:rPr>
          <w:rFonts w:ascii="Times New Roman" w:hAnsi="Times New Roman"/>
          <w:szCs w:val="24"/>
        </w:rPr>
        <w:t>具体步骤</w:t>
      </w:r>
      <w:r>
        <w:rPr>
          <w:rFonts w:hint="eastAsia" w:ascii="Times New Roman" w:hAnsi="Times New Roman"/>
          <w:szCs w:val="24"/>
        </w:rPr>
        <w:t>见试剂盒说明书。</w:t>
      </w:r>
    </w:p>
    <w:p>
      <w:pPr>
        <w:spacing w:line="400" w:lineRule="exact"/>
        <w:ind w:firstLine="420" w:firstLineChars="200"/>
        <w:rPr>
          <w:rFonts w:ascii="Times New Roman" w:hAnsi="Times New Roman"/>
          <w:szCs w:val="21"/>
        </w:rPr>
      </w:pPr>
      <w:r>
        <w:rPr>
          <w:rFonts w:hint="eastAsia" w:ascii="Times New Roman" w:hAnsi="Times New Roman"/>
          <w:szCs w:val="21"/>
        </w:rPr>
        <w:t>收集血液于1.5mL Ep管中。室温静置1h后，以4</w:t>
      </w:r>
      <w:r>
        <w:rPr>
          <w:rFonts w:ascii="Times New Roman" w:hAnsi="Times New Roman"/>
          <w:szCs w:val="21"/>
        </w:rPr>
        <w:t>,</w:t>
      </w:r>
      <w:r>
        <w:rPr>
          <w:rFonts w:hint="eastAsia" w:ascii="Times New Roman" w:hAnsi="Times New Roman"/>
          <w:szCs w:val="21"/>
        </w:rPr>
        <w:t>000rpm，4</w:t>
      </w:r>
      <w:r>
        <w:rPr>
          <w:rFonts w:ascii="Times New Roman" w:hAnsi="Times New Roman"/>
          <w:szCs w:val="21"/>
        </w:rPr>
        <w:t>℃</w:t>
      </w:r>
      <w:r>
        <w:rPr>
          <w:rFonts w:hint="eastAsia" w:ascii="Times New Roman" w:hAnsi="Times New Roman"/>
          <w:szCs w:val="21"/>
        </w:rPr>
        <w:t>条件离心15min，吸取上清液血清，做好相应标记且分装后置于-80</w:t>
      </w:r>
      <w:r>
        <w:rPr>
          <w:rFonts w:ascii="Times New Roman" w:hAnsi="Times New Roman"/>
          <w:szCs w:val="21"/>
        </w:rPr>
        <w:t>℃</w:t>
      </w:r>
      <w:r>
        <w:rPr>
          <w:rFonts w:hint="eastAsia" w:ascii="Times New Roman" w:hAnsi="Times New Roman"/>
          <w:szCs w:val="21"/>
        </w:rPr>
        <w:t>冰箱保存，以待后续促炎细胞因子与抗氧化指标测定，需避免反复冻融。</w:t>
      </w:r>
    </w:p>
    <w:p>
      <w:pPr>
        <w:spacing w:line="400" w:lineRule="exact"/>
        <w:ind w:firstLine="420" w:firstLineChars="200"/>
        <w:rPr>
          <w:rFonts w:ascii="宋体" w:hAnsi="宋体"/>
          <w:szCs w:val="21"/>
        </w:rPr>
      </w:pPr>
      <w:r>
        <w:rPr>
          <w:rFonts w:hint="eastAsia" w:ascii="宋体" w:hAnsi="宋体"/>
          <w:szCs w:val="21"/>
        </w:rPr>
        <w:t>10%结肠组织匀浆上清液的制备：准确称取结肠组织并记录重量（mg），加入9倍的预冷生理盐水（</w:t>
      </w:r>
      <w:r>
        <w:rPr>
          <w:rFonts w:ascii="宋体" w:hAnsi="宋体"/>
          <w:color w:val="000000"/>
          <w:kern w:val="0"/>
          <w:szCs w:val="21"/>
        </w:rPr>
        <w:t>μL</w:t>
      </w:r>
      <w:r>
        <w:rPr>
          <w:rFonts w:hint="eastAsia" w:ascii="宋体" w:hAnsi="宋体"/>
          <w:szCs w:val="21"/>
        </w:rPr>
        <w:t>），匀浆仪彻底研磨后以3</w:t>
      </w:r>
      <w:r>
        <w:rPr>
          <w:rFonts w:ascii="宋体" w:hAnsi="宋体"/>
          <w:szCs w:val="21"/>
        </w:rPr>
        <w:t>,</w:t>
      </w:r>
      <w:r>
        <w:rPr>
          <w:rFonts w:hint="eastAsia" w:ascii="宋体" w:hAnsi="宋体"/>
          <w:szCs w:val="21"/>
        </w:rPr>
        <w:t>000rpm，4</w:t>
      </w:r>
      <w:r>
        <w:rPr>
          <w:rFonts w:ascii="宋体" w:hAnsi="宋体"/>
          <w:szCs w:val="21"/>
        </w:rPr>
        <w:t>℃</w:t>
      </w:r>
      <w:r>
        <w:rPr>
          <w:rFonts w:hint="eastAsia" w:ascii="宋体" w:hAnsi="宋体"/>
          <w:szCs w:val="21"/>
        </w:rPr>
        <w:t>条件离心10min留取上清液，做好相应标记并分装后置于-80</w:t>
      </w:r>
      <w:r>
        <w:rPr>
          <w:rFonts w:ascii="宋体" w:hAnsi="宋体"/>
          <w:szCs w:val="21"/>
        </w:rPr>
        <w:t>℃</w:t>
      </w:r>
      <w:r>
        <w:rPr>
          <w:rFonts w:hint="eastAsia" w:ascii="宋体" w:hAnsi="宋体"/>
          <w:szCs w:val="21"/>
        </w:rPr>
        <w:t>冰箱保存，以待后续促炎细胞因子与氧化应激相关指标测定，需避免反复冻融。</w:t>
      </w:r>
    </w:p>
    <w:p>
      <w:pPr>
        <w:spacing w:line="400" w:lineRule="exact"/>
        <w:ind w:firstLine="422" w:firstLineChars="200"/>
        <w:rPr>
          <w:rFonts w:ascii="宋体" w:hAnsi="宋体"/>
          <w:b/>
          <w:szCs w:val="21"/>
        </w:rPr>
      </w:pPr>
    </w:p>
    <w:p>
      <w:pPr>
        <w:rPr>
          <w:rFonts w:ascii="Times New Roman" w:hAnsi="Times New Roman"/>
          <w:b/>
          <w:szCs w:val="24"/>
        </w:rPr>
      </w:pPr>
      <w:bookmarkStart w:id="1" w:name="_Toc90928331"/>
      <w:r>
        <w:rPr>
          <w:rFonts w:hint="eastAsia" w:ascii="Times New Roman" w:hAnsi="Times New Roman"/>
          <w:b/>
          <w:szCs w:val="24"/>
        </w:rPr>
        <w:t>1.6 结肠紧密连接蛋白I</w:t>
      </w:r>
      <w:r>
        <w:rPr>
          <w:rFonts w:ascii="Times New Roman" w:hAnsi="Times New Roman"/>
          <w:b/>
          <w:szCs w:val="24"/>
        </w:rPr>
        <w:t>HC</w:t>
      </w:r>
      <w:bookmarkEnd w:id="1"/>
    </w:p>
    <w:p>
      <w:pPr>
        <w:spacing w:line="400" w:lineRule="exact"/>
        <w:ind w:firstLine="420" w:firstLineChars="200"/>
        <w:rPr>
          <w:rFonts w:ascii="Times New Roman" w:hAnsi="Times New Roman"/>
          <w:szCs w:val="21"/>
        </w:rPr>
      </w:pPr>
      <w:r>
        <w:rPr>
          <w:rFonts w:hint="eastAsia" w:ascii="Times New Roman" w:hAnsi="Times New Roman"/>
          <w:szCs w:val="21"/>
        </w:rPr>
        <w:t>采用免疫组化(</w:t>
      </w:r>
      <w:r>
        <w:rPr>
          <w:rFonts w:ascii="Times New Roman" w:hAnsi="Times New Roman"/>
          <w:szCs w:val="21"/>
        </w:rPr>
        <w:t>I</w:t>
      </w:r>
      <w:r>
        <w:rPr>
          <w:rFonts w:hint="eastAsia" w:ascii="Times New Roman" w:hAnsi="Times New Roman"/>
          <w:szCs w:val="21"/>
        </w:rPr>
        <w:t>mmunohistochemistry, I</w:t>
      </w:r>
      <w:r>
        <w:rPr>
          <w:rFonts w:ascii="Times New Roman" w:hAnsi="Times New Roman"/>
          <w:szCs w:val="21"/>
        </w:rPr>
        <w:t>HC</w:t>
      </w:r>
      <w:r>
        <w:rPr>
          <w:rFonts w:hint="eastAsia" w:ascii="Times New Roman" w:hAnsi="Times New Roman"/>
          <w:szCs w:val="21"/>
        </w:rPr>
        <w:t>)对结肠组织的紧密连接蛋白Occludin与ZO-1的表达量进行测定，以1.4步骤制备石蜡切片，其余步骤如下：切片脱蜡后修复抗原，以3%</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hint="eastAsia" w:ascii="Times New Roman" w:hAnsi="Times New Roman"/>
          <w:szCs w:val="21"/>
        </w:rPr>
        <w:t>孵育后于组化圈内进行血清封闭，滴加一抗以4</w:t>
      </w:r>
      <w:r>
        <w:rPr>
          <w:rFonts w:ascii="Times New Roman" w:hAnsi="Times New Roman"/>
          <w:szCs w:val="21"/>
        </w:rPr>
        <w:t>℃</w:t>
      </w:r>
      <w:r>
        <w:rPr>
          <w:rFonts w:hint="eastAsia" w:ascii="Times New Roman" w:hAnsi="Times New Roman"/>
          <w:szCs w:val="21"/>
        </w:rPr>
        <w:t>条件孵育过夜，滴加二抗以室温条件孵育50min，滴加</w:t>
      </w:r>
      <w:r>
        <w:rPr>
          <w:rFonts w:ascii="Times New Roman" w:hAnsi="Times New Roman"/>
          <w:szCs w:val="21"/>
        </w:rPr>
        <w:t>DAB</w:t>
      </w:r>
      <w:r>
        <w:rPr>
          <w:rFonts w:hint="eastAsia" w:ascii="Times New Roman" w:hAnsi="Times New Roman"/>
          <w:szCs w:val="21"/>
        </w:rPr>
        <w:t>显色液使目的蛋白显现阳性信号，以苏木素复染细胞核后脱水透明，并以中性树胶封片后镜检，采集I</w:t>
      </w:r>
      <w:r>
        <w:rPr>
          <w:rFonts w:ascii="Times New Roman" w:hAnsi="Times New Roman"/>
          <w:szCs w:val="21"/>
        </w:rPr>
        <w:t>HC</w:t>
      </w:r>
      <w:r>
        <w:rPr>
          <w:rFonts w:hint="eastAsia" w:ascii="Times New Roman" w:hAnsi="Times New Roman"/>
          <w:szCs w:val="21"/>
        </w:rPr>
        <w:t>切片图像信息。</w:t>
      </w:r>
    </w:p>
    <w:p>
      <w:pPr>
        <w:spacing w:line="400" w:lineRule="exact"/>
        <w:ind w:firstLine="420" w:firstLineChars="200"/>
        <w:rPr>
          <w:rFonts w:ascii="Times New Roman" w:hAnsi="Times New Roman"/>
          <w:szCs w:val="21"/>
        </w:rPr>
      </w:pPr>
      <w:r>
        <w:rPr>
          <w:rFonts w:hint="eastAsia" w:ascii="Times New Roman" w:hAnsi="Times New Roman"/>
          <w:szCs w:val="21"/>
        </w:rPr>
        <w:t>I</w:t>
      </w:r>
      <w:r>
        <w:rPr>
          <w:rFonts w:ascii="Times New Roman" w:hAnsi="Times New Roman"/>
          <w:szCs w:val="21"/>
        </w:rPr>
        <w:t>HC</w:t>
      </w:r>
      <w:r>
        <w:rPr>
          <w:rFonts w:hint="eastAsia" w:ascii="Times New Roman" w:hAnsi="Times New Roman"/>
          <w:szCs w:val="21"/>
        </w:rPr>
        <w:t>切片图像中目的蛋白呈棕褐色阳性表达，参照</w:t>
      </w:r>
      <w:r>
        <w:rPr>
          <w:rFonts w:ascii="Times New Roman" w:hAnsi="Times New Roman"/>
          <w:szCs w:val="21"/>
        </w:rPr>
        <w:t>Yang</w:t>
      </w:r>
      <w:r>
        <w:rPr>
          <w:rFonts w:hint="eastAsia" w:ascii="Times New Roman" w:hAnsi="Times New Roman"/>
          <w:szCs w:val="21"/>
        </w:rPr>
        <w:t>等</w:t>
      </w:r>
      <w:r>
        <w:rPr>
          <w:rFonts w:ascii="Times New Roman" w:hAnsi="Times New Roman"/>
          <w:szCs w:val="21"/>
        </w:rPr>
        <w:fldChar w:fldCharType="begin">
          <w:fldData xml:space="preserve">PEVuZE5vdGU+PENpdGU+PEF1dGhvcj5ZYW5nPC9BdXRob3I+PFllYXI+MjAyMTwvWWVhcj48UmVj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</w:fldData>
        </w:fldChar>
      </w:r>
      <w:r>
        <w:rPr>
          <w:rFonts w:ascii="Times New Roman" w:hAnsi="Times New Roman"/>
          <w:szCs w:val="21"/>
        </w:rPr>
        <w:instrText xml:space="preserve"> ADDIN EN.CITE </w:instrText>
      </w:r>
      <w:r>
        <w:rPr>
          <w:rFonts w:ascii="Times New Roman" w:hAnsi="Times New Roman"/>
          <w:szCs w:val="21"/>
        </w:rPr>
        <w:fldChar w:fldCharType="begin">
          <w:fldData xml:space="preserve">PEVuZE5vdGU+PENpdGU+PEF1dGhvcj5ZYW5nPC9BdXRob3I+PFllYXI+MjAyMTwvWWVhcj48UmVj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</w:fldData>
        </w:fldChar>
      </w:r>
      <w:r>
        <w:rPr>
          <w:rFonts w:ascii="Times New Roman" w:hAnsi="Times New Roman"/>
          <w:szCs w:val="21"/>
        </w:rPr>
        <w:instrText xml:space="preserve"> ADDIN EN.CITE.DATA </w:instrText>
      </w:r>
      <w:r>
        <w:rPr>
          <w:rFonts w:ascii="Times New Roman" w:hAnsi="Times New Roman"/>
          <w:szCs w:val="21"/>
        </w:rPr>
        <w:fldChar w:fldCharType="end"/>
      </w:r>
      <w:r>
        <w:rPr>
          <w:rFonts w:ascii="Times New Roman" w:hAnsi="Times New Roman"/>
          <w:szCs w:val="21"/>
        </w:rPr>
        <w:fldChar w:fldCharType="separate"/>
      </w:r>
      <w:r>
        <w:rPr>
          <w:rFonts w:ascii="Times New Roman" w:hAnsi="Times New Roman"/>
          <w:szCs w:val="21"/>
          <w:vertAlign w:val="superscript"/>
        </w:rPr>
        <w:t>[248]</w:t>
      </w:r>
      <w:r>
        <w:rPr>
          <w:rFonts w:ascii="Times New Roman" w:hAnsi="Times New Roman"/>
          <w:szCs w:val="21"/>
        </w:rPr>
        <w:fldChar w:fldCharType="end"/>
      </w:r>
      <w:r>
        <w:rPr>
          <w:rFonts w:hint="eastAsia" w:ascii="Times New Roman" w:hAnsi="Times New Roman"/>
          <w:szCs w:val="21"/>
        </w:rPr>
        <w:t>的方法，利用Image Pro-Plus v.6.0软件测定积分光密度与组织面积（n=6），二者比值平均光密度作为量化分析结肠组织切片中目的蛋白表达的指标。</w:t>
      </w:r>
    </w:p>
    <w:p>
      <w:pPr>
        <w:spacing w:line="400" w:lineRule="exact"/>
        <w:ind w:firstLine="420" w:firstLineChars="200"/>
        <w:rPr>
          <w:rFonts w:ascii="Times New Roman" w:hAnsi="Times New Roman"/>
          <w:szCs w:val="21"/>
        </w:rPr>
      </w:pPr>
    </w:p>
    <w:p>
      <w:pPr>
        <w:rPr>
          <w:rFonts w:ascii="Times New Roman" w:hAnsi="Times New Roman"/>
          <w:b/>
          <w:szCs w:val="24"/>
        </w:rPr>
      </w:pPr>
      <w:bookmarkStart w:id="2" w:name="_Toc90928332"/>
      <w:r>
        <w:rPr>
          <w:rFonts w:hint="eastAsia" w:ascii="Times New Roman" w:hAnsi="Times New Roman"/>
          <w:b/>
          <w:szCs w:val="24"/>
        </w:rPr>
        <w:t>1.7 氧化应激相关指标的测定</w:t>
      </w:r>
      <w:bookmarkEnd w:id="2"/>
    </w:p>
    <w:p>
      <w:pPr>
        <w:spacing w:line="400" w:lineRule="exact"/>
        <w:ind w:firstLine="420" w:firstLineChars="200"/>
        <w:rPr>
          <w:rFonts w:ascii="Times New Roman" w:hAnsi="Times New Roman"/>
          <w:szCs w:val="21"/>
        </w:rPr>
      </w:pPr>
      <w:r>
        <w:rPr>
          <w:rFonts w:hint="eastAsia" w:ascii="Times New Roman" w:hAnsi="Times New Roman"/>
          <w:szCs w:val="21"/>
        </w:rPr>
        <w:t>对已获得的小鼠血清，采用盐酸羟胺法测定其S</w:t>
      </w:r>
      <w:r>
        <w:rPr>
          <w:rFonts w:ascii="Times New Roman" w:hAnsi="Times New Roman"/>
          <w:szCs w:val="21"/>
        </w:rPr>
        <w:t>OD</w:t>
      </w:r>
      <w:r>
        <w:rPr>
          <w:rFonts w:hint="eastAsia" w:ascii="Times New Roman" w:hAnsi="Times New Roman"/>
          <w:szCs w:val="21"/>
        </w:rPr>
        <w:t>酶活，具体操作步骤同南京建成生物工程研究所试剂盒。</w:t>
      </w:r>
    </w:p>
    <w:p>
      <w:pPr>
        <w:spacing w:line="400" w:lineRule="exact"/>
        <w:ind w:firstLine="420" w:firstLineChars="200"/>
        <w:rPr>
          <w:rFonts w:ascii="Times New Roman" w:hAnsi="Times New Roman"/>
          <w:szCs w:val="21"/>
        </w:rPr>
      </w:pPr>
      <w:r>
        <w:rPr>
          <w:rFonts w:hint="eastAsia" w:ascii="Times New Roman" w:hAnsi="Times New Roman"/>
          <w:szCs w:val="21"/>
        </w:rPr>
        <w:t>对已获得的组织匀浆上清液，采用B</w:t>
      </w:r>
      <w:r>
        <w:rPr>
          <w:rFonts w:ascii="Times New Roman" w:hAnsi="Times New Roman"/>
          <w:szCs w:val="21"/>
        </w:rPr>
        <w:t>CA</w:t>
      </w:r>
      <w:r>
        <w:rPr>
          <w:rFonts w:hint="eastAsia" w:ascii="Times New Roman" w:hAnsi="Times New Roman"/>
          <w:szCs w:val="21"/>
        </w:rPr>
        <w:t>试剂盒方法测定其中蛋白质含量。对组织匀浆上清液进行一定倍数的稀释后，采用南京建成试剂盒方法测定六项氧化应激相关指标S</w:t>
      </w:r>
      <w:r>
        <w:rPr>
          <w:rFonts w:ascii="Times New Roman" w:hAnsi="Times New Roman"/>
          <w:szCs w:val="21"/>
        </w:rPr>
        <w:t>OD</w:t>
      </w:r>
      <w:r>
        <w:rPr>
          <w:rFonts w:hint="eastAsia" w:ascii="Times New Roman" w:hAnsi="Times New Roman"/>
          <w:szCs w:val="21"/>
        </w:rPr>
        <w:t>、C</w:t>
      </w:r>
      <w:r>
        <w:rPr>
          <w:rFonts w:ascii="Times New Roman" w:hAnsi="Times New Roman"/>
          <w:szCs w:val="21"/>
        </w:rPr>
        <w:t>AT</w:t>
      </w:r>
      <w:r>
        <w:rPr>
          <w:rFonts w:hint="eastAsia" w:ascii="Times New Roman" w:hAnsi="Times New Roman"/>
          <w:szCs w:val="21"/>
        </w:rPr>
        <w:t>、M</w:t>
      </w:r>
      <w:r>
        <w:rPr>
          <w:rFonts w:ascii="Times New Roman" w:hAnsi="Times New Roman"/>
          <w:szCs w:val="21"/>
        </w:rPr>
        <w:t>DA</w:t>
      </w:r>
      <w:r>
        <w:rPr>
          <w:rFonts w:hint="eastAsia" w:ascii="Times New Roman" w:hAnsi="Times New Roman"/>
          <w:szCs w:val="21"/>
        </w:rPr>
        <w:t>、G</w:t>
      </w:r>
      <w:r>
        <w:rPr>
          <w:rFonts w:ascii="Times New Roman" w:hAnsi="Times New Roman"/>
          <w:szCs w:val="21"/>
        </w:rPr>
        <w:t>P</w:t>
      </w:r>
      <w:r>
        <w:rPr>
          <w:rFonts w:hint="eastAsia" w:ascii="Times New Roman" w:hAnsi="Times New Roman"/>
          <w:szCs w:val="21"/>
        </w:rPr>
        <w:t>x、G</w:t>
      </w:r>
      <w:r>
        <w:rPr>
          <w:rFonts w:ascii="Times New Roman" w:hAnsi="Times New Roman"/>
          <w:szCs w:val="21"/>
        </w:rPr>
        <w:t>SH</w:t>
      </w:r>
      <w:r>
        <w:rPr>
          <w:rFonts w:hint="eastAsia" w:ascii="Times New Roman" w:hAnsi="Times New Roman"/>
          <w:szCs w:val="21"/>
        </w:rPr>
        <w:t>、GSSG与M</w:t>
      </w:r>
      <w:r>
        <w:rPr>
          <w:rFonts w:ascii="Times New Roman" w:hAnsi="Times New Roman"/>
          <w:szCs w:val="21"/>
        </w:rPr>
        <w:t>PO</w:t>
      </w:r>
      <w:r>
        <w:rPr>
          <w:rFonts w:hint="eastAsia" w:ascii="Times New Roman" w:hAnsi="Times New Roman"/>
          <w:szCs w:val="21"/>
        </w:rPr>
        <w:t>的含量。</w:t>
      </w:r>
    </w:p>
    <w:p>
      <w:pPr>
        <w:rPr>
          <w:rFonts w:ascii="Times New Roman" w:hAnsi="Times New Roman"/>
          <w:szCs w:val="24"/>
        </w:rPr>
      </w:pPr>
      <w:bookmarkStart w:id="3" w:name="_Toc90928333"/>
    </w:p>
    <w:p>
      <w:pPr>
        <w:rPr>
          <w:rFonts w:ascii="Times New Roman" w:hAnsi="Times New Roman"/>
          <w:b/>
          <w:szCs w:val="24"/>
        </w:rPr>
      </w:pPr>
      <w:r>
        <w:rPr>
          <w:rFonts w:hint="eastAsia" w:ascii="Times New Roman" w:hAnsi="Times New Roman"/>
          <w:b/>
          <w:szCs w:val="24"/>
        </w:rPr>
        <w:t>1.8促炎细胞因子的测定</w:t>
      </w:r>
      <w:bookmarkEnd w:id="3"/>
    </w:p>
    <w:p>
      <w:pPr>
        <w:spacing w:line="400" w:lineRule="exact"/>
        <w:ind w:firstLine="420" w:firstLineChars="200"/>
        <w:rPr>
          <w:rFonts w:ascii="Times New Roman" w:hAnsi="Times New Roman"/>
          <w:szCs w:val="21"/>
        </w:rPr>
      </w:pPr>
      <w:r>
        <w:rPr>
          <w:rFonts w:hint="eastAsia" w:ascii="Times New Roman" w:hAnsi="Times New Roman"/>
          <w:szCs w:val="21"/>
        </w:rPr>
        <w:t>采用Elabscience E</w:t>
      </w:r>
      <w:r>
        <w:rPr>
          <w:rFonts w:ascii="Times New Roman" w:hAnsi="Times New Roman"/>
          <w:szCs w:val="21"/>
        </w:rPr>
        <w:t>LISA</w:t>
      </w:r>
      <w:r>
        <w:rPr>
          <w:rFonts w:hint="eastAsia" w:ascii="Times New Roman" w:hAnsi="Times New Roman"/>
          <w:szCs w:val="21"/>
        </w:rPr>
        <w:t>试剂盒方法进行测定大鼠血清与组织匀浆上清液中促炎细胞因子</w:t>
      </w:r>
      <w:r>
        <w:rPr>
          <w:rFonts w:ascii="Times New Roman" w:hAnsi="Times New Roman"/>
          <w:szCs w:val="21"/>
        </w:rPr>
        <w:t>TNF-α</w:t>
      </w:r>
      <w:r>
        <w:rPr>
          <w:rFonts w:hint="eastAsia" w:ascii="Times New Roman" w:hAnsi="Times New Roman"/>
          <w:szCs w:val="21"/>
        </w:rPr>
        <w:t>、</w:t>
      </w:r>
      <w:r>
        <w:rPr>
          <w:rFonts w:ascii="Times New Roman" w:hAnsi="Times New Roman"/>
          <w:szCs w:val="21"/>
        </w:rPr>
        <w:t>IL-6</w:t>
      </w:r>
      <w:r>
        <w:rPr>
          <w:rFonts w:hint="eastAsia" w:ascii="Times New Roman" w:hAnsi="Times New Roman"/>
          <w:szCs w:val="21"/>
        </w:rPr>
        <w:t>与</w:t>
      </w:r>
      <w:r>
        <w:rPr>
          <w:rFonts w:ascii="Times New Roman" w:hAnsi="Times New Roman"/>
          <w:szCs w:val="21"/>
        </w:rPr>
        <w:t>IL-1β</w:t>
      </w:r>
      <w:r>
        <w:rPr>
          <w:rFonts w:hint="eastAsia" w:ascii="Times New Roman" w:hAnsi="Times New Roman"/>
          <w:szCs w:val="21"/>
        </w:rPr>
        <w:t>的含量。</w:t>
      </w:r>
    </w:p>
    <w:p>
      <w:pPr>
        <w:spacing w:line="400" w:lineRule="exact"/>
        <w:ind w:firstLine="420" w:firstLineChars="200"/>
        <w:rPr>
          <w:rFonts w:ascii="Times New Roman" w:hAnsi="Times New Roman"/>
          <w:szCs w:val="21"/>
        </w:rPr>
      </w:pPr>
    </w:p>
    <w:p>
      <w:pPr>
        <w:rPr>
          <w:rFonts w:ascii="Times New Roman" w:hAnsi="Times New Roman"/>
          <w:b/>
          <w:szCs w:val="24"/>
        </w:rPr>
      </w:pPr>
      <w:bookmarkStart w:id="4" w:name="_Toc90928334"/>
      <w:r>
        <w:rPr>
          <w:rFonts w:hint="eastAsia" w:ascii="Times New Roman" w:hAnsi="Times New Roman"/>
          <w:b/>
          <w:szCs w:val="24"/>
        </w:rPr>
        <w:t>1.9 实验数据处理与分析</w:t>
      </w:r>
      <w:bookmarkEnd w:id="4"/>
    </w:p>
    <w:p>
      <w:pPr>
        <w:spacing w:line="400" w:lineRule="exact"/>
        <w:ind w:firstLine="420" w:firstLineChars="200"/>
        <w:rPr>
          <w:rFonts w:ascii="Times New Roman" w:hAnsi="Times New Roman"/>
          <w:szCs w:val="21"/>
        </w:rPr>
      </w:pPr>
      <w:r>
        <w:rPr>
          <w:rFonts w:hint="eastAsia" w:ascii="Times New Roman" w:hAnsi="Times New Roman"/>
          <w:szCs w:val="21"/>
        </w:rPr>
        <w:t>采用Excel 2010、SPSS 25和</w:t>
      </w:r>
      <w:r>
        <w:rPr>
          <w:rFonts w:ascii="Times New Roman" w:hAnsi="Times New Roman"/>
          <w:szCs w:val="21"/>
        </w:rPr>
        <w:t>GraphPad Prism 8</w:t>
      </w:r>
      <w:r>
        <w:rPr>
          <w:rFonts w:hint="eastAsia" w:ascii="Times New Roman" w:hAnsi="Times New Roman"/>
          <w:szCs w:val="21"/>
        </w:rPr>
        <w:t>软件对实验数据进行分析处理，结果以“平均值±标准误差（M±S</w:t>
      </w:r>
      <w:r>
        <w:rPr>
          <w:rFonts w:ascii="Times New Roman" w:hAnsi="Times New Roman"/>
          <w:szCs w:val="21"/>
        </w:rPr>
        <w:t>EM</w:t>
      </w:r>
      <w:r>
        <w:rPr>
          <w:rFonts w:hint="eastAsia" w:ascii="Times New Roman" w:hAnsi="Times New Roman"/>
          <w:szCs w:val="21"/>
        </w:rPr>
        <w:t>）”进行表述，进行单因素方差分析（A</w:t>
      </w:r>
      <w:r>
        <w:rPr>
          <w:rFonts w:ascii="Times New Roman" w:hAnsi="Times New Roman"/>
          <w:szCs w:val="21"/>
        </w:rPr>
        <w:t>NOVA</w:t>
      </w:r>
      <w:r>
        <w:rPr>
          <w:rFonts w:hint="eastAsia" w:ascii="Times New Roman" w:hAnsi="Times New Roman"/>
          <w:szCs w:val="21"/>
        </w:rPr>
        <w:t>）并进行Duncan检验，以</w:t>
      </w:r>
      <w:r>
        <w:rPr>
          <w:rFonts w:hint="eastAsia" w:ascii="Times New Roman" w:hAnsi="Times New Roman"/>
          <w:i/>
          <w:iCs/>
          <w:szCs w:val="21"/>
        </w:rPr>
        <w:t>p</w:t>
      </w:r>
      <w:r>
        <w:rPr>
          <w:rFonts w:hint="eastAsia" w:ascii="Times New Roman" w:hAnsi="Times New Roman"/>
          <w:szCs w:val="21"/>
        </w:rPr>
        <w:t>＜0.05为显著性差异。</w:t>
      </w:r>
    </w:p>
    <w:p>
      <w:pPr>
        <w:rPr>
          <w:rFonts w:ascii="Times New Roman" w:hAnsi="Times New Roman"/>
          <w:szCs w:val="24"/>
        </w:rPr>
      </w:pPr>
    </w:p>
    <w:p>
      <w:pPr>
        <w:rPr>
          <w:rFonts w:ascii="Times New Roman" w:hAnsi="Times New Roman"/>
          <w:b/>
          <w:szCs w:val="24"/>
        </w:rPr>
      </w:pPr>
      <w:r>
        <w:rPr>
          <w:rFonts w:hint="eastAsia" w:ascii="宋体" w:hAnsi="宋体"/>
          <w:b/>
          <w:color w:val="000000"/>
          <w:szCs w:val="21"/>
        </w:rPr>
        <w:t>2.</w:t>
      </w:r>
      <w:r>
        <w:rPr>
          <w:rFonts w:hint="eastAsia" w:ascii="宋体" w:hAnsi="宋体"/>
          <w:color w:val="000000"/>
          <w:szCs w:val="21"/>
        </w:rPr>
        <w:t xml:space="preserve"> </w:t>
      </w:r>
      <w:r>
        <w:rPr>
          <w:rFonts w:hint="eastAsia" w:ascii="Times New Roman" w:hAnsi="Times New Roman"/>
          <w:b/>
          <w:szCs w:val="24"/>
        </w:rPr>
        <w:t>OXZ造模条件下口服TAT-</w:t>
      </w:r>
      <w:r>
        <w:rPr>
          <w:rFonts w:ascii="Times New Roman" w:hAnsi="Times New Roman"/>
          <w:b/>
          <w:szCs w:val="24"/>
        </w:rPr>
        <w:t>SOD</w:t>
      </w:r>
      <w:r>
        <w:rPr>
          <w:rFonts w:hint="eastAsia" w:ascii="Times New Roman" w:hAnsi="Times New Roman"/>
          <w:b/>
          <w:szCs w:val="24"/>
        </w:rPr>
        <w:t>对溃疡性结肠炎（简称U</w:t>
      </w:r>
      <w:r>
        <w:rPr>
          <w:rFonts w:ascii="Times New Roman" w:hAnsi="Times New Roman"/>
          <w:b/>
          <w:szCs w:val="24"/>
        </w:rPr>
        <w:t>C</w:t>
      </w:r>
      <w:r>
        <w:rPr>
          <w:rFonts w:hint="eastAsia" w:ascii="Times New Roman" w:hAnsi="Times New Roman"/>
          <w:b/>
          <w:szCs w:val="24"/>
        </w:rPr>
        <w:t>）大鼠的改善作用</w:t>
      </w:r>
    </w:p>
    <w:p>
      <w:pPr>
        <w:rPr>
          <w:rFonts w:ascii="宋体" w:hAnsi="宋体"/>
          <w:color w:val="000000"/>
          <w:szCs w:val="21"/>
        </w:rPr>
      </w:pPr>
      <w:r>
        <w:rPr>
          <w:rFonts w:hint="eastAsia" w:ascii="宋体" w:hAnsi="宋体"/>
          <w:color w:val="000000"/>
          <w:szCs w:val="21"/>
        </w:rPr>
        <w:t xml:space="preserve">    本项造模实验除造模方法不同外，其它方法参考DSS法。</w:t>
      </w:r>
    </w:p>
    <w:p>
      <w:pPr>
        <w:rPr>
          <w:rFonts w:ascii="Times New Roman" w:hAnsi="Times New Roman"/>
          <w:szCs w:val="21"/>
        </w:rPr>
      </w:pPr>
      <w:r>
        <w:rPr>
          <w:rFonts w:hint="eastAsia" w:ascii="宋体" w:hAnsi="宋体"/>
          <w:color w:val="000000"/>
          <w:szCs w:val="21"/>
        </w:rPr>
        <w:t xml:space="preserve">    </w:t>
      </w:r>
      <w:r>
        <w:rPr>
          <w:rFonts w:ascii="宋体" w:hAnsi="宋体"/>
          <w:color w:val="000000"/>
          <w:szCs w:val="21"/>
        </w:rPr>
        <w:t>OXZ 法诱导的实验性结肠炎动物模型的建立</w:t>
      </w:r>
      <w:r>
        <w:rPr>
          <w:rFonts w:hint="eastAsia" w:ascii="宋体" w:hAnsi="宋体"/>
          <w:color w:val="000000"/>
          <w:szCs w:val="21"/>
          <w:vertAlign w:val="superscript"/>
        </w:rPr>
        <w:t>*</w:t>
      </w:r>
      <w:r>
        <w:rPr>
          <w:rFonts w:ascii="宋体" w:hAnsi="宋体"/>
          <w:color w:val="000000"/>
          <w:szCs w:val="21"/>
        </w:rPr>
        <w:t>: 大鼠背部皮肤剃毛( 2 cm × 2 cm) ，剃毛处滴3%的OXZ( 溶解于100%乙醇) 0</w:t>
      </w:r>
      <w:r>
        <w:rPr>
          <w:rFonts w:hint="eastAsia" w:ascii="宋体" w:hAnsi="宋体"/>
          <w:color w:val="000000"/>
          <w:szCs w:val="21"/>
        </w:rPr>
        <w:t>.</w:t>
      </w:r>
      <w:r>
        <w:rPr>
          <w:rFonts w:ascii="宋体" w:hAnsi="宋体"/>
          <w:color w:val="000000"/>
          <w:szCs w:val="21"/>
        </w:rPr>
        <w:t>2 m</w:t>
      </w:r>
      <w:r>
        <w:rPr>
          <w:rFonts w:hint="eastAsia" w:ascii="宋体" w:hAnsi="宋体"/>
          <w:color w:val="000000"/>
          <w:szCs w:val="21"/>
        </w:rPr>
        <w:t>L</w:t>
      </w:r>
      <w:r>
        <w:rPr>
          <w:rFonts w:ascii="宋体" w:hAnsi="宋体"/>
          <w:color w:val="000000"/>
          <w:szCs w:val="21"/>
        </w:rPr>
        <w:t>，自然风干，1 d后重复1次，5 d后将直径 2 mm 的无菌聚乙烯管插入大肠约 8 cm， 灌入0</w:t>
      </w:r>
      <w:r>
        <w:rPr>
          <w:rFonts w:hint="eastAsia" w:ascii="宋体" w:hAnsi="宋体"/>
          <w:color w:val="000000"/>
          <w:szCs w:val="21"/>
        </w:rPr>
        <w:t>.</w:t>
      </w:r>
      <w:r>
        <w:rPr>
          <w:rFonts w:ascii="宋体" w:hAnsi="宋体"/>
          <w:color w:val="000000"/>
          <w:szCs w:val="21"/>
        </w:rPr>
        <w:t>5% OXZ( 溶解于50%乙醇) 0</w:t>
      </w:r>
      <w:r>
        <w:rPr>
          <w:rFonts w:hint="eastAsia" w:ascii="宋体" w:hAnsi="宋体"/>
          <w:color w:val="000000"/>
          <w:szCs w:val="21"/>
        </w:rPr>
        <w:t>.</w:t>
      </w:r>
      <w:r>
        <w:rPr>
          <w:rFonts w:ascii="宋体" w:hAnsi="宋体"/>
          <w:color w:val="000000"/>
          <w:szCs w:val="21"/>
        </w:rPr>
        <w:t>15 m</w:t>
      </w:r>
      <w:r>
        <w:rPr>
          <w:rFonts w:hint="eastAsia" w:ascii="宋体" w:hAnsi="宋体"/>
          <w:color w:val="000000"/>
          <w:szCs w:val="21"/>
        </w:rPr>
        <w:t>L</w:t>
      </w:r>
      <w:r>
        <w:rPr>
          <w:rFonts w:ascii="宋体" w:hAnsi="宋体"/>
          <w:color w:val="000000"/>
          <w:szCs w:val="21"/>
        </w:rPr>
        <w:t>，注入后大鼠倒置 1 min， 防止倒流。待清醒后正常喂养， 正常对照组注入生理盐水</w:t>
      </w:r>
      <w:r>
        <w:rPr>
          <w:rFonts w:ascii="宋体" w:hAnsi="宋体"/>
          <w:color w:val="000000"/>
          <w:szCs w:val="21"/>
          <w:vertAlign w:val="superscript"/>
        </w:rPr>
        <w:t>［9］</w:t>
      </w:r>
      <w:r>
        <w:rPr>
          <w:rFonts w:hint="eastAsia" w:ascii="Times New Roman" w:hAnsi="Times New Roman"/>
          <w:szCs w:val="21"/>
        </w:rPr>
        <w:t>。</w:t>
      </w:r>
    </w:p>
    <w:p>
      <w:pPr>
        <w:rPr>
          <w:rFonts w:ascii="Times New Roman" w:hAnsi="Times New Roman"/>
          <w:szCs w:val="21"/>
        </w:rPr>
      </w:pPr>
    </w:p>
    <w:p>
      <w:pPr>
        <w:rPr>
          <w:rFonts w:ascii="宋体" w:hAnsi="宋体"/>
          <w:szCs w:val="21"/>
        </w:rPr>
      </w:pPr>
      <w:r>
        <w:rPr>
          <w:rFonts w:hint="eastAsia" w:ascii="Times New Roman" w:hAnsi="Times New Roman"/>
          <w:szCs w:val="21"/>
        </w:rPr>
        <w:t xml:space="preserve">* </w:t>
      </w:r>
      <w:r>
        <w:rPr>
          <w:rFonts w:ascii="宋体" w:hAnsi="宋体"/>
          <w:color w:val="000000"/>
          <w:sz w:val="18"/>
          <w:szCs w:val="18"/>
        </w:rPr>
        <w:t xml:space="preserve">胃肠病学和肝病学杂志 </w:t>
      </w:r>
      <w:r>
        <w:rPr>
          <w:rFonts w:ascii="E-BZ+ZBFAV5-2" w:hAnsi="E-BZ+ZBFAV5-2"/>
          <w:color w:val="000000"/>
          <w:sz w:val="18"/>
          <w:szCs w:val="18"/>
        </w:rPr>
        <w:t xml:space="preserve">2013 </w:t>
      </w:r>
      <w:r>
        <w:rPr>
          <w:rFonts w:ascii="宋体" w:hAnsi="宋体"/>
          <w:color w:val="000000"/>
          <w:sz w:val="18"/>
          <w:szCs w:val="18"/>
        </w:rPr>
        <w:t xml:space="preserve">年 </w:t>
      </w:r>
      <w:r>
        <w:rPr>
          <w:rFonts w:ascii="E-BZ+ZBFAV5-2" w:hAnsi="E-BZ+ZBFAV5-2"/>
          <w:color w:val="000000"/>
          <w:sz w:val="18"/>
          <w:szCs w:val="18"/>
        </w:rPr>
        <w:t xml:space="preserve">12 </w:t>
      </w:r>
      <w:r>
        <w:rPr>
          <w:rFonts w:ascii="宋体" w:hAnsi="宋体"/>
          <w:color w:val="000000"/>
          <w:sz w:val="18"/>
          <w:szCs w:val="18"/>
        </w:rPr>
        <w:t xml:space="preserve">月第 </w:t>
      </w:r>
      <w:r>
        <w:rPr>
          <w:rFonts w:ascii="E-BZ+ZBFAV5-2" w:hAnsi="E-BZ+ZBFAV5-2"/>
          <w:color w:val="000000"/>
          <w:sz w:val="18"/>
          <w:szCs w:val="18"/>
        </w:rPr>
        <w:t xml:space="preserve">22 </w:t>
      </w:r>
      <w:r>
        <w:rPr>
          <w:rFonts w:ascii="宋体" w:hAnsi="宋体"/>
          <w:color w:val="000000"/>
          <w:sz w:val="18"/>
          <w:szCs w:val="18"/>
        </w:rPr>
        <w:t xml:space="preserve">卷第 </w:t>
      </w:r>
      <w:r>
        <w:rPr>
          <w:rFonts w:ascii="E-BZ+ZBFAV5-2" w:hAnsi="E-BZ+ZBFAV5-2"/>
          <w:color w:val="000000"/>
          <w:sz w:val="18"/>
          <w:szCs w:val="18"/>
        </w:rPr>
        <w:t xml:space="preserve">12 </w:t>
      </w:r>
      <w:r>
        <w:rPr>
          <w:rFonts w:ascii="宋体" w:hAnsi="宋体"/>
          <w:color w:val="000000"/>
          <w:sz w:val="18"/>
          <w:szCs w:val="18"/>
        </w:rPr>
        <w:t>期</w:t>
      </w:r>
      <w:r>
        <w:rPr>
          <w:rFonts w:hint="eastAsia" w:ascii="宋体" w:hAnsi="宋体"/>
          <w:color w:val="000000"/>
          <w:sz w:val="18"/>
          <w:szCs w:val="18"/>
        </w:rPr>
        <w:t>,</w:t>
      </w:r>
      <w:r>
        <w:rPr>
          <w:rFonts w:ascii="宋体" w:hAnsi="宋体"/>
          <w:color w:val="000000"/>
          <w:sz w:val="18"/>
          <w:szCs w:val="18"/>
        </w:rPr>
        <w:t xml:space="preserve"> DSS、TNBS、OXZ 诱导结肠炎动物模型的对比</w:t>
      </w:r>
      <w:r>
        <w:rPr>
          <w:rFonts w:hint="eastAsia" w:ascii="宋体" w:hAnsi="宋体"/>
          <w:color w:val="000000"/>
          <w:sz w:val="18"/>
          <w:szCs w:val="18"/>
        </w:rPr>
        <w:t>。</w:t>
      </w:r>
    </w:p>
    <w:p/>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BZ+ZBFAV5-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ascii="宋体" w:hAnsi="宋体" w:cs="宋体"/>
        <w:b/>
        <w:sz w:val="36"/>
        <w:szCs w:val="36"/>
      </w:rPr>
    </w:pPr>
    <w:r>
      <w:rPr>
        <w:rFonts w:ascii="仿宋_GB2312" w:hAnsi="宋体" w:eastAsia="仿宋_GB2312" w:cs="宋体"/>
        <w:b/>
        <w:sz w:val="28"/>
        <w:szCs w:val="28"/>
      </w:rPr>
      <w:drawing>
        <wp:inline distT="0" distB="0" distL="0" distR="0">
          <wp:extent cx="1533525" cy="704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3525" cy="704850"/>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漳州水仙药业股份有限公司</w:t>
    </w:r>
  </w:p>
  <w:p>
    <w:pPr>
      <w:snapToGrid w:val="0"/>
      <w:spacing w:line="300" w:lineRule="auto"/>
      <w:jc w:val="center"/>
      <w:rPr>
        <w:rFonts w:ascii="宋体" w:hAnsi="宋体" w:cs="宋体"/>
        <w:b/>
        <w:sz w:val="30"/>
        <w:szCs w:val="30"/>
      </w:rPr>
    </w:pPr>
    <w:r>
      <w:rPr>
        <w:rFonts w:hint="eastAsia" w:ascii="宋体" w:hAnsi="宋体" w:cs="宋体"/>
        <w:b/>
        <w:sz w:val="52"/>
        <w:szCs w:val="52"/>
      </w:rPr>
      <w:t>招标文件</w:t>
    </w:r>
  </w:p>
  <w:p>
    <w:pPr>
      <w:tabs>
        <w:tab w:val="left" w:pos="6435"/>
      </w:tabs>
      <w:snapToGrid w:val="0"/>
      <w:spacing w:line="300" w:lineRule="auto"/>
      <w:jc w:val="center"/>
      <w:rPr>
        <w:rFonts w:ascii="宋体" w:hAnsi="宋体" w:cs="Arial"/>
        <w:b/>
        <w:sz w:val="28"/>
        <w:szCs w:val="28"/>
      </w:rPr>
    </w:pPr>
    <w:r>
      <w:rPr>
        <w:rFonts w:ascii="宋体" w:hAnsi="宋体" w:cs="Arial"/>
        <w:b/>
        <w:sz w:val="28"/>
        <w:szCs w:val="28"/>
      </w:rPr>
      <w:t>编号</w:t>
    </w:r>
    <w:r>
      <w:rPr>
        <w:rFonts w:hint="eastAsia" w:ascii="宋体" w:hAnsi="宋体" w:cs="Arial"/>
        <w:b/>
        <w:sz w:val="28"/>
        <w:szCs w:val="28"/>
      </w:rPr>
      <w:t>:ZHB</w:t>
    </w:r>
    <w:r>
      <w:rPr>
        <w:rFonts w:hint="eastAsia" w:ascii="宋体" w:hAnsi="宋体" w:cs="Arial"/>
        <w:b/>
        <w:color w:val="auto"/>
        <w:sz w:val="28"/>
        <w:szCs w:val="28"/>
      </w:rPr>
      <w:t>20</w:t>
    </w:r>
    <w:r>
      <w:rPr>
        <w:rFonts w:ascii="宋体" w:hAnsi="宋体" w:cs="Arial"/>
        <w:b/>
        <w:color w:val="auto"/>
        <w:sz w:val="28"/>
        <w:szCs w:val="28"/>
      </w:rPr>
      <w:t>220</w:t>
    </w:r>
    <w:r>
      <w:rPr>
        <w:rFonts w:hint="eastAsia" w:ascii="宋体" w:hAnsi="宋体" w:cs="Arial"/>
        <w:b/>
        <w:color w:val="auto"/>
        <w:sz w:val="28"/>
        <w:szCs w:val="28"/>
        <w:lang w:val="en-US" w:eastAsia="zh-CN"/>
      </w:rPr>
      <w:t>03</w:t>
    </w:r>
    <w:r>
      <w:rPr>
        <w:rFonts w:ascii="宋体" w:hAnsi="宋体" w:cs="Arial"/>
        <w:b/>
        <w:color w:val="auto"/>
        <w:sz w:val="28"/>
        <w:szCs w:val="28"/>
      </w:rPr>
      <w:t xml:space="preserve"> </w:t>
    </w:r>
    <w:r>
      <w:rPr>
        <w:rFonts w:hint="eastAsia" w:ascii="宋体" w:hAnsi="宋体" w:cs="Arial"/>
        <w:b/>
        <w:sz w:val="28"/>
        <w:szCs w:val="28"/>
      </w:rPr>
      <w:t>共</w:t>
    </w:r>
    <w:r>
      <w:rPr>
        <w:rFonts w:ascii="宋体" w:hAnsi="宋体" w:cs="Arial"/>
        <w:b/>
        <w:sz w:val="28"/>
        <w:szCs w:val="28"/>
      </w:rPr>
      <w:fldChar w:fldCharType="begin"/>
    </w:r>
    <w:r>
      <w:rPr>
        <w:rFonts w:ascii="宋体" w:hAnsi="宋体" w:cs="Arial"/>
        <w:b/>
        <w:sz w:val="28"/>
        <w:szCs w:val="28"/>
      </w:rPr>
      <w:instrText xml:space="preserve">NUMPAGES</w:instrText>
    </w:r>
    <w:r>
      <w:rPr>
        <w:rFonts w:ascii="宋体" w:hAnsi="宋体" w:cs="Arial"/>
        <w:b/>
        <w:sz w:val="28"/>
        <w:szCs w:val="28"/>
      </w:rPr>
      <w:fldChar w:fldCharType="separate"/>
    </w:r>
    <w:r>
      <w:rPr>
        <w:rFonts w:ascii="宋体" w:hAnsi="宋体" w:cs="Arial"/>
        <w:b/>
        <w:sz w:val="28"/>
        <w:szCs w:val="28"/>
      </w:rPr>
      <w:t>6</w:t>
    </w:r>
    <w:r>
      <w:rPr>
        <w:rFonts w:ascii="宋体" w:hAnsi="宋体" w:cs="Arial"/>
        <w:b/>
        <w:sz w:val="28"/>
        <w:szCs w:val="28"/>
      </w:rPr>
      <w:fldChar w:fldCharType="end"/>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仿宋_GB2312" w:eastAsia="仿宋_GB2312"/>
      </w:rPr>
    </w:pPr>
    <w:r>
      <w:rPr>
        <w:rFonts w:ascii="Arial" w:hAnsi="Arial" w:cs="Arial"/>
        <w:b/>
        <w:sz w:val="24"/>
        <w:szCs w:val="24"/>
      </w:rPr>
      <w:t xml:space="preserve">   </w:t>
    </w:r>
    <w:r>
      <w:rPr>
        <w:rFonts w:ascii="Arial" w:hAnsi="Arial" w:cs="Arial"/>
        <w:b/>
        <w:sz w:val="24"/>
        <w:szCs w:val="24"/>
      </w:rPr>
      <w:tab/>
    </w: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19050" t="22225" r="19050" b="2540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38100">
                        <a:solidFill>
                          <a:srgbClr val="000000"/>
                        </a:solidFill>
                        <a:round/>
                      </a:ln>
                    </wps:spPr>
                    <wps:bodyPr/>
                  </wps:wsp>
                </a:graphicData>
              </a:graphic>
            </wp:anchor>
          </w:drawing>
        </mc:Choice>
        <mc:Fallback>
          <w:pict>
            <v:shape id="_x0000_s1026"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Bm3rVAAAACQEAAA8AAAAAAAAAAQAgAAAAIgAAAGRycy9kb3ducmV2LnhtbFBLAQIU&#10;ABQAAAAIAIdO4kCFAcnd9gEAAL8DAAAOAAAAAAAAAAEAIAAAACQBAABkcnMvZTJvRG9jLnhtbFBL&#10;BQYAAAAABgAGAFkBAACMBQAAAAA=&#10;">
              <v:fill on="f" focussize="0,0"/>
              <v:stroke weight="3pt"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05"/>
    <w:rsid w:val="000D1252"/>
    <w:rsid w:val="001E1F0D"/>
    <w:rsid w:val="0036255D"/>
    <w:rsid w:val="004020F3"/>
    <w:rsid w:val="005E7D48"/>
    <w:rsid w:val="006B7F05"/>
    <w:rsid w:val="0071274D"/>
    <w:rsid w:val="007876AF"/>
    <w:rsid w:val="00A533AF"/>
    <w:rsid w:val="00B56A69"/>
    <w:rsid w:val="00F413AB"/>
    <w:rsid w:val="154A55F5"/>
    <w:rsid w:val="176C4AA9"/>
    <w:rsid w:val="51D4444C"/>
    <w:rsid w:val="5442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kern w:val="0"/>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uiPriority w:val="0"/>
  </w:style>
  <w:style w:type="character" w:customStyle="1" w:styleId="8">
    <w:name w:val="页脚 字符"/>
    <w:basedOn w:val="6"/>
    <w:link w:val="2"/>
    <w:qFormat/>
    <w:uiPriority w:val="99"/>
    <w:rPr>
      <w:rFonts w:ascii="Calibri" w:hAnsi="Calibri" w:eastAsia="宋体" w:cs="Times New Roman"/>
      <w:kern w:val="0"/>
      <w:sz w:val="18"/>
      <w:szCs w:val="18"/>
    </w:rPr>
  </w:style>
  <w:style w:type="character" w:customStyle="1" w:styleId="9">
    <w:name w:val="页眉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672</Words>
  <Characters>3833</Characters>
  <Lines>31</Lines>
  <Paragraphs>8</Paragraphs>
  <TotalTime>5</TotalTime>
  <ScaleCrop>false</ScaleCrop>
  <LinksUpToDate>false</LinksUpToDate>
  <CharactersWithSpaces>4497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2022-02-10T00:37:00Z</dcterms:created>
  <dc:creator>林聪明</dc:creator>
  <cp:lastModifiedBy>admin</cp:lastModifiedBy>
  <dcterms:modified xsi:type="dcterms:W3CDTF">2022-02-11T02:00:25Z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743A1A6CB132476AA5DA43FFAADCFD13</vt:lpwstr>
  </property>
</Properties>
</file>