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ZB2022SC0700</w:t>
      </w:r>
      <w:r>
        <w:rPr>
          <w:rFonts w:hint="eastAsia" w:cs="Arial"/>
          <w:b/>
          <w:sz w:val="28"/>
          <w:szCs w:val="28"/>
          <w:lang w:val="en-US" w:eastAsia="zh-CN"/>
        </w:rPr>
        <w:t>3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压力管道使用登记项目招标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>福建南平正天锅炉安装</w:t>
      </w:r>
      <w:r>
        <w:rPr>
          <w:rFonts w:hint="eastAsia" w:ascii="宋体" w:hAnsi="宋体"/>
          <w:sz w:val="28"/>
          <w:szCs w:val="28"/>
          <w:lang w:eastAsia="zh-CN"/>
        </w:rPr>
        <w:t>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年0</w:t>
      </w:r>
      <w:r>
        <w:rPr>
          <w:rStyle w:val="6"/>
          <w:rFonts w:hint="eastAsia"/>
          <w:sz w:val="28"/>
          <w:szCs w:val="28"/>
          <w:lang w:val="en-US" w:eastAsia="zh-CN"/>
        </w:rPr>
        <w:t>6月13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06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16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06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VkN2NkMDNjMTE4ZWJlN2I1NmUyNjVjYmQzMmYifQ=="/>
  </w:docVars>
  <w:rsids>
    <w:rsidRoot w:val="00BB7659"/>
    <w:rsid w:val="0076524C"/>
    <w:rsid w:val="00BB7659"/>
    <w:rsid w:val="08CC5C24"/>
    <w:rsid w:val="0AF21016"/>
    <w:rsid w:val="0DD22E60"/>
    <w:rsid w:val="208243D2"/>
    <w:rsid w:val="264B175A"/>
    <w:rsid w:val="2AD8421C"/>
    <w:rsid w:val="36536C21"/>
    <w:rsid w:val="3DFD7CF5"/>
    <w:rsid w:val="41387B21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258</Characters>
  <Lines>2</Lines>
  <Paragraphs>1</Paragraphs>
  <TotalTime>5</TotalTime>
  <ScaleCrop>false</ScaleCrop>
  <LinksUpToDate>false</LinksUpToDate>
  <CharactersWithSpaces>260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2022-06-13T00:17:23Z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3BA29A5AD6BC4F2A91290B2A8884C8C7</vt:lpwstr>
  </property>
</Properties>
</file>