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组织薪酬绩效管理体系优化咨询项目</w:t>
      </w:r>
    </w:p>
    <w:p>
      <w:pPr>
        <w:spacing w:line="360" w:lineRule="auto"/>
        <w:jc w:val="center"/>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评标办法</w:t>
      </w:r>
    </w:p>
    <w:p>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firstLine="280" w:firstLineChars="100"/>
        <w:textAlignment w:val="auto"/>
        <w:rPr>
          <w:rFonts w:ascii="仿宋" w:hAnsi="仿宋" w:eastAsia="仿宋" w:cs="仿宋"/>
          <w:sz w:val="28"/>
          <w:szCs w:val="28"/>
        </w:rPr>
      </w:pPr>
      <w:r>
        <w:rPr>
          <w:rFonts w:hint="eastAsia" w:ascii="仿宋" w:hAnsi="仿宋" w:eastAsia="仿宋" w:cs="仿宋"/>
          <w:sz w:val="28"/>
          <w:szCs w:val="28"/>
        </w:rPr>
        <w:t xml:space="preserve">（1）投标文件满足招标文件全部实质性要求，且按照评审因素的量化指标评审得分（即评标总得分）最高的投标人为中标候选人。 </w:t>
      </w:r>
    </w:p>
    <w:p>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firstLine="280" w:firstLineChars="100"/>
        <w:textAlignment w:val="auto"/>
        <w:rPr>
          <w:rFonts w:ascii="仿宋" w:hAnsi="仿宋" w:eastAsia="仿宋" w:cs="仿宋"/>
          <w:sz w:val="28"/>
          <w:szCs w:val="28"/>
        </w:rPr>
      </w:pPr>
    </w:p>
    <w:p>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firstLine="280" w:firstLineChars="100"/>
        <w:textAlignment w:val="auto"/>
        <w:rPr>
          <w:rFonts w:ascii="仿宋" w:hAnsi="仿宋" w:eastAsia="仿宋" w:cs="仿宋"/>
          <w:sz w:val="28"/>
          <w:szCs w:val="28"/>
        </w:rPr>
      </w:pPr>
      <w:r>
        <w:rPr>
          <w:rFonts w:hint="eastAsia" w:ascii="仿宋" w:hAnsi="仿宋" w:eastAsia="仿宋" w:cs="仿宋"/>
          <w:sz w:val="28"/>
          <w:szCs w:val="28"/>
        </w:rPr>
        <w:t>（2）每个投标人的评标总得分FA＝F1＋F2，其中：F1指价格项评审因素得分、F2指技术</w:t>
      </w:r>
      <w:r>
        <w:rPr>
          <w:rFonts w:hint="eastAsia" w:ascii="仿宋" w:hAnsi="仿宋" w:eastAsia="仿宋" w:cs="仿宋"/>
          <w:sz w:val="28"/>
          <w:szCs w:val="28"/>
          <w:lang w:eastAsia="zh-CN"/>
        </w:rPr>
        <w:t>与商务</w:t>
      </w:r>
      <w:r>
        <w:rPr>
          <w:rFonts w:hint="eastAsia" w:ascii="仿宋" w:hAnsi="仿宋" w:eastAsia="仿宋" w:cs="仿宋"/>
          <w:sz w:val="28"/>
          <w:szCs w:val="28"/>
        </w:rPr>
        <w:t>项评审因素得分</w:t>
      </w:r>
      <w:r>
        <w:rPr>
          <w:rFonts w:hint="eastAsia" w:ascii="仿宋" w:hAnsi="仿宋" w:eastAsia="仿宋" w:cs="仿宋"/>
          <w:sz w:val="28"/>
          <w:szCs w:val="28"/>
          <w:lang w:eastAsia="zh-CN"/>
        </w:rPr>
        <w:t>。</w:t>
      </w:r>
      <w:r>
        <w:rPr>
          <w:rFonts w:hint="eastAsia" w:ascii="仿宋" w:hAnsi="仿宋" w:eastAsia="仿宋" w:cs="仿宋"/>
          <w:sz w:val="28"/>
          <w:szCs w:val="28"/>
        </w:rPr>
        <w:t xml:space="preserve">F1＋F2 =100分（满分时）。 </w:t>
      </w:r>
    </w:p>
    <w:p>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firstLine="280" w:firstLineChars="100"/>
        <w:textAlignment w:val="auto"/>
        <w:rPr>
          <w:rFonts w:ascii="仿宋" w:hAnsi="仿宋" w:eastAsia="仿宋" w:cs="仿宋"/>
          <w:sz w:val="28"/>
          <w:szCs w:val="28"/>
        </w:rPr>
      </w:pPr>
    </w:p>
    <w:p>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firstLine="280" w:firstLineChars="100"/>
        <w:textAlignment w:val="auto"/>
        <w:rPr>
          <w:rFonts w:ascii="仿宋" w:hAnsi="仿宋" w:eastAsia="仿宋" w:cs="仿宋"/>
          <w:sz w:val="28"/>
          <w:szCs w:val="28"/>
        </w:rPr>
      </w:pPr>
      <w:r>
        <w:rPr>
          <w:rFonts w:hint="eastAsia" w:ascii="仿宋" w:hAnsi="仿宋" w:eastAsia="仿宋" w:cs="仿宋"/>
          <w:sz w:val="28"/>
          <w:szCs w:val="28"/>
        </w:rPr>
        <w:t xml:space="preserve">（3）各项评审因素的设置如下： </w:t>
      </w:r>
    </w:p>
    <w:p>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firstLine="422" w:firstLineChars="150"/>
        <w:textAlignment w:val="auto"/>
        <w:rPr>
          <w:rFonts w:ascii="仿宋" w:hAnsi="仿宋" w:eastAsia="仿宋" w:cs="仿宋"/>
          <w:b/>
          <w:bCs/>
          <w:sz w:val="28"/>
          <w:szCs w:val="28"/>
        </w:rPr>
      </w:pPr>
      <w:r>
        <w:rPr>
          <w:rFonts w:hint="eastAsia" w:ascii="仿宋" w:hAnsi="仿宋" w:eastAsia="仿宋" w:cs="仿宋"/>
          <w:b/>
          <w:bCs/>
          <w:sz w:val="28"/>
          <w:szCs w:val="28"/>
        </w:rPr>
        <w:t>① 价格项（F1）满分为</w:t>
      </w:r>
      <w:r>
        <w:rPr>
          <w:rFonts w:hint="eastAsia" w:ascii="仿宋" w:hAnsi="仿宋" w:eastAsia="仿宋" w:cs="仿宋"/>
          <w:b/>
          <w:bCs/>
          <w:sz w:val="28"/>
          <w:szCs w:val="28"/>
          <w:lang w:val="en-US" w:eastAsia="zh-CN"/>
        </w:rPr>
        <w:t>40</w:t>
      </w:r>
      <w:r>
        <w:rPr>
          <w:rFonts w:hint="eastAsia" w:ascii="仿宋" w:hAnsi="仿宋" w:eastAsia="仿宋" w:cs="仿宋"/>
          <w:b/>
          <w:bCs/>
          <w:sz w:val="28"/>
          <w:szCs w:val="28"/>
        </w:rPr>
        <w:t>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当AG＞1.1AD时，F1=40-（A- AD ）÷（AG- AD ）×6</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当AG≤1.1AD时，F1=40-（A- AD ）÷AD×40</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其中：F1为投标评审价分；</w:t>
      </w:r>
    </w:p>
    <w:p>
      <w:pPr>
        <w:keepNext w:val="0"/>
        <w:keepLines w:val="0"/>
        <w:pageBreakBefore w:val="0"/>
        <w:widowControl/>
        <w:kinsoku/>
        <w:wordWrap/>
        <w:overflowPunct/>
        <w:topLinePunct w:val="0"/>
        <w:autoSpaceDE/>
        <w:autoSpaceDN/>
        <w:bidi w:val="0"/>
        <w:adjustRightInd/>
        <w:snapToGrid/>
        <w:spacing w:line="400" w:lineRule="exact"/>
        <w:ind w:firstLine="840" w:firstLineChars="300"/>
        <w:jc w:val="left"/>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A 为投标价；</w:t>
      </w:r>
    </w:p>
    <w:p>
      <w:pPr>
        <w:keepNext w:val="0"/>
        <w:keepLines w:val="0"/>
        <w:pageBreakBefore w:val="0"/>
        <w:widowControl/>
        <w:kinsoku/>
        <w:wordWrap/>
        <w:overflowPunct/>
        <w:topLinePunct w:val="0"/>
        <w:autoSpaceDE/>
        <w:autoSpaceDN/>
        <w:bidi w:val="0"/>
        <w:adjustRightInd/>
        <w:snapToGrid/>
        <w:spacing w:line="400" w:lineRule="exact"/>
        <w:ind w:firstLine="840" w:firstLineChars="300"/>
        <w:jc w:val="left"/>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AG为最高投标价；</w:t>
      </w:r>
    </w:p>
    <w:p>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firstLine="840" w:firstLineChars="30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AD为最低投标价。</w:t>
      </w:r>
    </w:p>
    <w:p>
      <w:pPr>
        <w:keepNext w:val="0"/>
        <w:keepLines w:val="0"/>
        <w:pageBreakBefore w:val="0"/>
        <w:kinsoku/>
        <w:wordWrap/>
        <w:overflowPunct/>
        <w:topLinePunct w:val="0"/>
        <w:autoSpaceDE/>
        <w:autoSpaceDN/>
        <w:bidi w:val="0"/>
        <w:adjustRightInd/>
        <w:snapToGrid/>
        <w:spacing w:line="400" w:lineRule="exact"/>
        <w:ind w:firstLine="281" w:firstLineChars="100"/>
        <w:textAlignment w:val="auto"/>
        <w:rPr>
          <w:rFonts w:ascii="仿宋" w:hAnsi="仿宋" w:eastAsia="仿宋" w:cs="仿宋"/>
          <w:b/>
          <w:kern w:val="0"/>
          <w:sz w:val="28"/>
          <w:szCs w:val="28"/>
        </w:rPr>
      </w:pPr>
      <w:r>
        <w:rPr>
          <w:rFonts w:hint="eastAsia" w:ascii="仿宋" w:hAnsi="仿宋" w:eastAsia="仿宋" w:cs="仿宋"/>
          <w:b/>
          <w:kern w:val="0"/>
          <w:sz w:val="28"/>
          <w:szCs w:val="28"/>
        </w:rPr>
        <w:t>② 技术与商务项（F2）满分为</w:t>
      </w:r>
      <w:r>
        <w:rPr>
          <w:rFonts w:hint="eastAsia" w:ascii="仿宋" w:hAnsi="仿宋" w:eastAsia="仿宋" w:cs="仿宋"/>
          <w:b/>
          <w:kern w:val="0"/>
          <w:sz w:val="28"/>
          <w:szCs w:val="28"/>
          <w:lang w:val="en-US" w:eastAsia="zh-CN"/>
        </w:rPr>
        <w:t>6</w:t>
      </w:r>
      <w:r>
        <w:rPr>
          <w:rFonts w:hint="eastAsia" w:ascii="仿宋" w:hAnsi="仿宋" w:eastAsia="仿宋" w:cs="仿宋"/>
          <w:b/>
          <w:kern w:val="0"/>
          <w:sz w:val="28"/>
          <w:szCs w:val="28"/>
        </w:rPr>
        <w:t>0分。</w:t>
      </w:r>
    </w:p>
    <w:tbl>
      <w:tblPr>
        <w:tblStyle w:val="8"/>
        <w:tblW w:w="94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847"/>
        <w:gridCol w:w="1243"/>
        <w:gridCol w:w="5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blHeader/>
          <w:jc w:val="center"/>
        </w:trPr>
        <w:tc>
          <w:tcPr>
            <w:tcW w:w="2847" w:type="dxa"/>
            <w:shd w:val="clear" w:color="auto" w:fill="auto"/>
            <w:vAlign w:val="center"/>
          </w:tcPr>
          <w:p>
            <w:pPr>
              <w:widowControl/>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评标项目</w:t>
            </w:r>
          </w:p>
        </w:tc>
        <w:tc>
          <w:tcPr>
            <w:tcW w:w="1243" w:type="dxa"/>
            <w:shd w:val="clear" w:color="auto" w:fill="auto"/>
            <w:vAlign w:val="center"/>
          </w:tcPr>
          <w:p>
            <w:pPr>
              <w:widowControl/>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评标分值</w:t>
            </w:r>
          </w:p>
        </w:tc>
        <w:tc>
          <w:tcPr>
            <w:tcW w:w="5338" w:type="dxa"/>
            <w:shd w:val="clear" w:color="auto" w:fill="auto"/>
            <w:vAlign w:val="center"/>
          </w:tcPr>
          <w:p>
            <w:pPr>
              <w:widowControl/>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8" w:hRule="atLeast"/>
          <w:jc w:val="center"/>
        </w:trPr>
        <w:tc>
          <w:tcPr>
            <w:tcW w:w="2847" w:type="dxa"/>
            <w:shd w:val="clear" w:color="auto" w:fill="auto"/>
            <w:vAlign w:val="center"/>
          </w:tcPr>
          <w:p>
            <w:pPr>
              <w:widowControl/>
              <w:spacing w:line="400" w:lineRule="exact"/>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rPr>
              <w:t>技术部分评分</w:t>
            </w:r>
          </w:p>
        </w:tc>
        <w:tc>
          <w:tcPr>
            <w:tcW w:w="1243" w:type="dxa"/>
            <w:shd w:val="clear" w:color="auto" w:fill="auto"/>
            <w:vAlign w:val="center"/>
          </w:tcPr>
          <w:p>
            <w:pPr>
              <w:widowControl/>
              <w:spacing w:line="400" w:lineRule="exact"/>
              <w:jc w:val="center"/>
              <w:rPr>
                <w:rFonts w:hint="default"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rPr>
              <w:t>30</w:t>
            </w:r>
          </w:p>
        </w:tc>
        <w:tc>
          <w:tcPr>
            <w:tcW w:w="5338" w:type="dxa"/>
            <w:shd w:val="clear" w:color="auto" w:fill="auto"/>
            <w:vAlign w:val="center"/>
          </w:tcPr>
          <w:p>
            <w:pPr>
              <w:widowControl/>
              <w:spacing w:line="400" w:lineRule="exact"/>
              <w:jc w:val="left"/>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根据投标人提供的服务总体方案（包括目标定位、服务理念、服务模式、整体设想、工作内容等）由评委进行对比评分：总体方案完整、合理、可行性高的得12分；总体方案较完整、较合理、较可行的得8分，总体方案基本完整、基本合理、基本可行的得4分；总体方案差或无实质内容或未提供的不得分。</w:t>
            </w:r>
          </w:p>
          <w:p>
            <w:pPr>
              <w:widowControl/>
              <w:spacing w:line="400" w:lineRule="exact"/>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2、方案系统性强、条理清晰，可操作性强的，管理工具等资源丰富的，得8至12分；</w:t>
            </w:r>
          </w:p>
          <w:p>
            <w:pPr>
              <w:widowControl/>
              <w:spacing w:line="400" w:lineRule="exact"/>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方案系统性较强、可操作性较强的，管理工具等资源较为丰富的，得4至8分；</w:t>
            </w:r>
          </w:p>
          <w:p>
            <w:pPr>
              <w:widowControl/>
              <w:spacing w:line="400" w:lineRule="exact"/>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方案系统性较强、可操作性较强的，管理工具等资源有限的，得0至4分。</w:t>
            </w:r>
          </w:p>
          <w:p>
            <w:pPr>
              <w:widowControl/>
              <w:spacing w:line="400" w:lineRule="exact"/>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3、由评委综合考虑投标人项目方案中对于项目时间进度安排（包括阶段划分、工作时间分配、阶段性目标设置等）的合理性进行横向综合评议并分三档进行评分：好(3分)、中(2分)、差(0分)。</w:t>
            </w:r>
          </w:p>
          <w:p>
            <w:pPr>
              <w:widowControl/>
              <w:spacing w:line="400" w:lineRule="exact"/>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4、能清晰罗列提供咨询项目各成果，所提供相关成果符合甲方实际，得3分。</w:t>
            </w:r>
          </w:p>
          <w:p>
            <w:pPr>
              <w:widowControl/>
              <w:spacing w:line="400" w:lineRule="exact"/>
              <w:jc w:val="left"/>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所提供咨询成果不清晰或模糊，不易于理解，不得分。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8" w:hRule="atLeast"/>
          <w:jc w:val="center"/>
        </w:trPr>
        <w:tc>
          <w:tcPr>
            <w:tcW w:w="2847" w:type="dxa"/>
            <w:shd w:val="clear" w:color="auto" w:fill="auto"/>
            <w:vAlign w:val="center"/>
          </w:tcPr>
          <w:p>
            <w:pPr>
              <w:widowControl/>
              <w:spacing w:line="400" w:lineRule="exact"/>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商务部分评分</w:t>
            </w:r>
          </w:p>
        </w:tc>
        <w:tc>
          <w:tcPr>
            <w:tcW w:w="1243" w:type="dxa"/>
            <w:shd w:val="clear" w:color="auto" w:fill="auto"/>
            <w:vAlign w:val="center"/>
          </w:tcPr>
          <w:p>
            <w:pPr>
              <w:widowControl/>
              <w:spacing w:line="400" w:lineRule="exact"/>
              <w:jc w:val="center"/>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30</w:t>
            </w:r>
          </w:p>
        </w:tc>
        <w:tc>
          <w:tcPr>
            <w:tcW w:w="5338" w:type="dxa"/>
            <w:shd w:val="clear" w:color="auto" w:fill="auto"/>
            <w:vAlign w:val="center"/>
          </w:tcPr>
          <w:p>
            <w:pPr>
              <w:widowControl/>
              <w:spacing w:line="400" w:lineRule="exact"/>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1、具备企业咨询管理资质，从事咨询业务年限20年以上得3分，15年以上得2分，15年以下得1分；最高得3分。</w:t>
            </w:r>
          </w:p>
          <w:p>
            <w:pPr>
              <w:widowControl/>
              <w:spacing w:line="400" w:lineRule="exact"/>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 xml:space="preserve">2、投标人具有CMC国际管理咨询证书的，得1分，若无不得分。（提供有效的证书复印件加盖投标人公章） </w:t>
            </w:r>
          </w:p>
          <w:p>
            <w:pPr>
              <w:widowControl/>
              <w:spacing w:line="400" w:lineRule="exact"/>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 xml:space="preserve">3、投标人通过ISO9001质量管理体系认证且在有效期内的，得1分，若无不得分。（提供有效的证书复印件加盖投标人公章） </w:t>
            </w:r>
          </w:p>
          <w:p>
            <w:pPr>
              <w:widowControl/>
              <w:spacing w:line="400" w:lineRule="exact"/>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4、投标人近3年（自2019年1月1日至投标文件递交截止时间）承接过同类国有企业组织体系相关业务咨询服务，提供相应的业绩合同加盖公章，每提供一项得2分，最高得8分。</w:t>
            </w:r>
          </w:p>
          <w:p>
            <w:pPr>
              <w:widowControl/>
              <w:spacing w:line="400" w:lineRule="exact"/>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5、本项目负责人需提供企业缴纳医社保证明且担任过类似过同类项目负责人经验满10年以上，并提供业绩证明复印件，有得2分，若无不得分。</w:t>
            </w:r>
          </w:p>
          <w:p>
            <w:pPr>
              <w:widowControl/>
              <w:spacing w:line="400" w:lineRule="exact"/>
              <w:jc w:val="left"/>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6、咨询团队人员不少于2人，具备硕士及以上学历或CMC国际管理咨询师证书，（咨询团队人员需提供企业缴纳医社保证明，不提供该项不得分）；对团队配备进行横向比较，优于本项目要求的，得2分；基本满足的，得1分；不满足不得分。</w:t>
            </w:r>
          </w:p>
          <w:p>
            <w:pPr>
              <w:widowControl/>
              <w:spacing w:line="400" w:lineRule="exact"/>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7、本项目的负责人近三年（自2019年1月1日至投标文件递交截止时间）成功完成过国有企业类似咨询项目1个的基础上每增加1个项目得2分，最高得8分；</w:t>
            </w:r>
          </w:p>
          <w:p>
            <w:pPr>
              <w:widowControl/>
              <w:spacing w:line="400" w:lineRule="exact"/>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以上证明须提供相应社保缴纳证明及个人工作简历、业绩合同证明等，否则不得分。</w:t>
            </w:r>
          </w:p>
          <w:p>
            <w:pPr>
              <w:widowControl/>
              <w:spacing w:line="400" w:lineRule="exact"/>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8、服务质量保障强、售后服务时间长、持续改进跟踪支持与维护措施较完善，3-5分；</w:t>
            </w:r>
          </w:p>
          <w:p>
            <w:pPr>
              <w:widowControl/>
              <w:spacing w:line="400" w:lineRule="exact"/>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服务质量保障措施较强，售后服务时间较长，持续改进跟踪支持为维护较完善，1-3分；</w:t>
            </w:r>
          </w:p>
          <w:p>
            <w:pPr>
              <w:widowControl/>
              <w:spacing w:line="400" w:lineRule="exact"/>
              <w:jc w:val="left"/>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服务质量保障措施一般，售后服务时间一般，持续改进跟踪支持为维护较一般，不得分。</w:t>
            </w:r>
          </w:p>
          <w:p>
            <w:pPr>
              <w:widowControl/>
              <w:spacing w:line="400" w:lineRule="exact"/>
              <w:jc w:val="left"/>
              <w:rPr>
                <w:rFonts w:hint="default" w:ascii="仿宋" w:hAnsi="仿宋" w:eastAsia="仿宋" w:cs="仿宋"/>
                <w:kern w:val="0"/>
                <w:sz w:val="28"/>
                <w:szCs w:val="28"/>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kern w:val="0"/>
          <w:sz w:val="28"/>
          <w:szCs w:val="28"/>
        </w:rPr>
      </w:pPr>
    </w:p>
    <w:p>
      <w:pPr>
        <w:spacing w:line="360" w:lineRule="auto"/>
        <w:rPr>
          <w:rFonts w:hint="eastAsia" w:ascii="仿宋" w:hAnsi="仿宋" w:eastAsia="仿宋" w:cs="仿宋"/>
          <w:kern w:val="0"/>
          <w:sz w:val="28"/>
          <w:szCs w:val="28"/>
        </w:rPr>
      </w:pPr>
    </w:p>
    <w:p>
      <w:pPr>
        <w:spacing w:line="360" w:lineRule="auto"/>
        <w:rPr>
          <w:rFonts w:hint="eastAsia" w:ascii="仿宋" w:hAnsi="仿宋" w:eastAsia="仿宋" w:cs="仿宋"/>
          <w:kern w:val="0"/>
          <w:sz w:val="28"/>
          <w:szCs w:val="28"/>
        </w:rPr>
      </w:pPr>
    </w:p>
    <w:p>
      <w:pPr>
        <w:spacing w:line="360" w:lineRule="auto"/>
        <w:rPr>
          <w:rFonts w:hint="eastAsia" w:ascii="仿宋" w:hAnsi="仿宋" w:eastAsia="仿宋" w:cs="仿宋"/>
          <w:kern w:val="0"/>
          <w:sz w:val="28"/>
          <w:szCs w:val="28"/>
        </w:rPr>
      </w:pPr>
    </w:p>
    <w:p>
      <w:pPr>
        <w:spacing w:line="360" w:lineRule="auto"/>
        <w:rPr>
          <w:rFonts w:ascii="仿宋" w:hAnsi="仿宋" w:eastAsia="仿宋" w:cs="仿宋"/>
          <w:kern w:val="0"/>
          <w:sz w:val="28"/>
          <w:szCs w:val="28"/>
        </w:rPr>
      </w:pPr>
      <w:r>
        <w:rPr>
          <w:rFonts w:hint="eastAsia" w:ascii="仿宋" w:hAnsi="仿宋" w:eastAsia="仿宋" w:cs="仿宋"/>
          <w:kern w:val="0"/>
          <w:sz w:val="28"/>
          <w:szCs w:val="28"/>
        </w:rPr>
        <w:t xml:space="preserve">                                 漳州水仙药业股份有限公司</w:t>
      </w:r>
    </w:p>
    <w:p>
      <w:pPr>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 xml:space="preserve">                                         招标办</w:t>
      </w:r>
    </w:p>
    <w:p>
      <w:pPr>
        <w:spacing w:line="360" w:lineRule="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 xml:space="preserve">                                     2022年2月16</w:t>
      </w:r>
      <w:bookmarkStart w:id="0" w:name="_GoBack"/>
      <w:bookmarkEnd w:id="0"/>
      <w:r>
        <w:rPr>
          <w:rFonts w:hint="eastAsia" w:ascii="仿宋" w:hAnsi="仿宋" w:eastAsia="仿宋" w:cs="仿宋"/>
          <w:kern w:val="0"/>
          <w:sz w:val="28"/>
          <w:szCs w:val="28"/>
          <w:lang w:val="en-US" w:eastAsia="zh-CN"/>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9419467"/>
    </w:sdtPr>
    <w:sdtContent>
      <w:p>
        <w:pPr>
          <w:pStyle w:val="6"/>
          <w:jc w:val="center"/>
        </w:pPr>
        <w:r>
          <w:fldChar w:fldCharType="begin"/>
        </w:r>
        <w:r>
          <w:instrText xml:space="preserve">PAGE   \* MERGEFORMAT</w:instrText>
        </w:r>
        <w:r>
          <w:fldChar w:fldCharType="separate"/>
        </w:r>
        <w:r>
          <w:rPr>
            <w:lang w:val="zh-CN"/>
          </w:rPr>
          <w:t>1</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EE9"/>
    <w:rsid w:val="000029BA"/>
    <w:rsid w:val="00005C93"/>
    <w:rsid w:val="00006614"/>
    <w:rsid w:val="0002298C"/>
    <w:rsid w:val="000338DF"/>
    <w:rsid w:val="00034F59"/>
    <w:rsid w:val="00035228"/>
    <w:rsid w:val="000358A6"/>
    <w:rsid w:val="000370B6"/>
    <w:rsid w:val="00070FA6"/>
    <w:rsid w:val="00080585"/>
    <w:rsid w:val="000A3572"/>
    <w:rsid w:val="000C58CF"/>
    <w:rsid w:val="000E39AA"/>
    <w:rsid w:val="000F5EE9"/>
    <w:rsid w:val="0011409C"/>
    <w:rsid w:val="00142673"/>
    <w:rsid w:val="00156528"/>
    <w:rsid w:val="001702AD"/>
    <w:rsid w:val="0017784B"/>
    <w:rsid w:val="001D72D7"/>
    <w:rsid w:val="001E3484"/>
    <w:rsid w:val="00206FC3"/>
    <w:rsid w:val="00217A0E"/>
    <w:rsid w:val="00233562"/>
    <w:rsid w:val="0025498C"/>
    <w:rsid w:val="00275822"/>
    <w:rsid w:val="00285EA7"/>
    <w:rsid w:val="0029176F"/>
    <w:rsid w:val="002A4745"/>
    <w:rsid w:val="002C0B3E"/>
    <w:rsid w:val="002D6984"/>
    <w:rsid w:val="00302681"/>
    <w:rsid w:val="00305092"/>
    <w:rsid w:val="003063D3"/>
    <w:rsid w:val="00332EE8"/>
    <w:rsid w:val="00347F21"/>
    <w:rsid w:val="003577EB"/>
    <w:rsid w:val="00365879"/>
    <w:rsid w:val="00384F72"/>
    <w:rsid w:val="00391429"/>
    <w:rsid w:val="00394F77"/>
    <w:rsid w:val="003F53F2"/>
    <w:rsid w:val="00403806"/>
    <w:rsid w:val="00436C81"/>
    <w:rsid w:val="004373B8"/>
    <w:rsid w:val="00460EC6"/>
    <w:rsid w:val="00465596"/>
    <w:rsid w:val="00494EB4"/>
    <w:rsid w:val="004972B3"/>
    <w:rsid w:val="00497D81"/>
    <w:rsid w:val="004B0CD2"/>
    <w:rsid w:val="004F45B7"/>
    <w:rsid w:val="00515CA5"/>
    <w:rsid w:val="00525600"/>
    <w:rsid w:val="00537801"/>
    <w:rsid w:val="00553D14"/>
    <w:rsid w:val="005610F2"/>
    <w:rsid w:val="00574C7A"/>
    <w:rsid w:val="0058187F"/>
    <w:rsid w:val="005E3F29"/>
    <w:rsid w:val="00611E6F"/>
    <w:rsid w:val="00663C43"/>
    <w:rsid w:val="00694EBB"/>
    <w:rsid w:val="00695722"/>
    <w:rsid w:val="006A017A"/>
    <w:rsid w:val="006B17A4"/>
    <w:rsid w:val="006D6222"/>
    <w:rsid w:val="007279D2"/>
    <w:rsid w:val="0073601F"/>
    <w:rsid w:val="0074600A"/>
    <w:rsid w:val="00764F89"/>
    <w:rsid w:val="00780BA9"/>
    <w:rsid w:val="007A42E5"/>
    <w:rsid w:val="007B6F87"/>
    <w:rsid w:val="007B7572"/>
    <w:rsid w:val="007C3342"/>
    <w:rsid w:val="007F5DBF"/>
    <w:rsid w:val="00820D9F"/>
    <w:rsid w:val="008337C9"/>
    <w:rsid w:val="00840637"/>
    <w:rsid w:val="008424FF"/>
    <w:rsid w:val="00844816"/>
    <w:rsid w:val="0085512A"/>
    <w:rsid w:val="00861D0F"/>
    <w:rsid w:val="008720C0"/>
    <w:rsid w:val="00876891"/>
    <w:rsid w:val="008800A7"/>
    <w:rsid w:val="00883CF3"/>
    <w:rsid w:val="008956AA"/>
    <w:rsid w:val="008A2A0D"/>
    <w:rsid w:val="008B1164"/>
    <w:rsid w:val="009025E0"/>
    <w:rsid w:val="0091013E"/>
    <w:rsid w:val="00926E7C"/>
    <w:rsid w:val="00943D0B"/>
    <w:rsid w:val="00950E3B"/>
    <w:rsid w:val="009606CC"/>
    <w:rsid w:val="009C1F60"/>
    <w:rsid w:val="009C5E43"/>
    <w:rsid w:val="009D43C3"/>
    <w:rsid w:val="009E44FD"/>
    <w:rsid w:val="009F0537"/>
    <w:rsid w:val="00A106C2"/>
    <w:rsid w:val="00A51605"/>
    <w:rsid w:val="00A7406E"/>
    <w:rsid w:val="00A9346E"/>
    <w:rsid w:val="00AA0CA3"/>
    <w:rsid w:val="00AB275E"/>
    <w:rsid w:val="00AE1596"/>
    <w:rsid w:val="00AE1645"/>
    <w:rsid w:val="00AE1E1C"/>
    <w:rsid w:val="00AE7315"/>
    <w:rsid w:val="00AF366E"/>
    <w:rsid w:val="00AF62F4"/>
    <w:rsid w:val="00B17E35"/>
    <w:rsid w:val="00B52555"/>
    <w:rsid w:val="00B5462D"/>
    <w:rsid w:val="00B55B90"/>
    <w:rsid w:val="00B656B2"/>
    <w:rsid w:val="00B80F64"/>
    <w:rsid w:val="00BA05C2"/>
    <w:rsid w:val="00BB0DB6"/>
    <w:rsid w:val="00BB114E"/>
    <w:rsid w:val="00BB55A1"/>
    <w:rsid w:val="00BC3BBE"/>
    <w:rsid w:val="00BE10AD"/>
    <w:rsid w:val="00BE14E4"/>
    <w:rsid w:val="00BF4085"/>
    <w:rsid w:val="00C0144E"/>
    <w:rsid w:val="00C02D95"/>
    <w:rsid w:val="00C45B8D"/>
    <w:rsid w:val="00C66DFC"/>
    <w:rsid w:val="00C6719C"/>
    <w:rsid w:val="00CE439B"/>
    <w:rsid w:val="00CF130A"/>
    <w:rsid w:val="00CF36BC"/>
    <w:rsid w:val="00CF4A0D"/>
    <w:rsid w:val="00D1070A"/>
    <w:rsid w:val="00D246A3"/>
    <w:rsid w:val="00D52A56"/>
    <w:rsid w:val="00D55B90"/>
    <w:rsid w:val="00D77E24"/>
    <w:rsid w:val="00DC25BA"/>
    <w:rsid w:val="00DC657D"/>
    <w:rsid w:val="00DF4673"/>
    <w:rsid w:val="00E13E9C"/>
    <w:rsid w:val="00E17FDC"/>
    <w:rsid w:val="00E23C03"/>
    <w:rsid w:val="00E26E9F"/>
    <w:rsid w:val="00E33C9A"/>
    <w:rsid w:val="00E40C77"/>
    <w:rsid w:val="00E726C7"/>
    <w:rsid w:val="00E771AC"/>
    <w:rsid w:val="00E774D2"/>
    <w:rsid w:val="00EB2DBA"/>
    <w:rsid w:val="00EC5649"/>
    <w:rsid w:val="00ED4513"/>
    <w:rsid w:val="00ED7389"/>
    <w:rsid w:val="00EF5899"/>
    <w:rsid w:val="00F15BB3"/>
    <w:rsid w:val="00F30D32"/>
    <w:rsid w:val="00F540F8"/>
    <w:rsid w:val="00F57D90"/>
    <w:rsid w:val="00FD1F88"/>
    <w:rsid w:val="00FF2600"/>
    <w:rsid w:val="0DC9201F"/>
    <w:rsid w:val="18053CB1"/>
    <w:rsid w:val="1F450DC8"/>
    <w:rsid w:val="228F36E2"/>
    <w:rsid w:val="31460826"/>
    <w:rsid w:val="31F13A0C"/>
    <w:rsid w:val="345D086E"/>
    <w:rsid w:val="34C30D25"/>
    <w:rsid w:val="45336F6A"/>
    <w:rsid w:val="48336E7E"/>
    <w:rsid w:val="4F503FB9"/>
    <w:rsid w:val="58EA6F71"/>
    <w:rsid w:val="5E446395"/>
    <w:rsid w:val="6C320FDD"/>
    <w:rsid w:val="79A84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4">
    <w:name w:val="heading 1"/>
    <w:basedOn w:val="1"/>
    <w:next w:val="1"/>
    <w:link w:val="11"/>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afterLines="0" w:line="240" w:lineRule="auto"/>
      <w:ind w:left="420" w:leftChars="200" w:firstLine="420" w:firstLineChars="200"/>
    </w:pPr>
    <w:rPr>
      <w:rFonts w:ascii="Times New Roman" w:eastAsia="宋体"/>
      <w:sz w:val="21"/>
    </w:rPr>
  </w:style>
  <w:style w:type="paragraph" w:styleId="3">
    <w:name w:val="Body Text Indent"/>
    <w:basedOn w:val="1"/>
    <w:qFormat/>
    <w:uiPriority w:val="0"/>
    <w:pPr>
      <w:spacing w:line="480" w:lineRule="auto"/>
      <w:ind w:firstLine="720"/>
    </w:pPr>
    <w:rPr>
      <w:rFonts w:ascii="楷体_GB2312" w:eastAsia="楷体_GB2312"/>
      <w:sz w:val="28"/>
      <w:szCs w:val="20"/>
    </w:rPr>
  </w:style>
  <w:style w:type="paragraph" w:styleId="5">
    <w:name w:val="Balloon Text"/>
    <w:basedOn w:val="1"/>
    <w:link w:val="17"/>
    <w:semiHidden/>
    <w:unhideWhenUsed/>
    <w:qFormat/>
    <w:uiPriority w:val="99"/>
    <w:rPr>
      <w:sz w:val="18"/>
      <w:szCs w:val="18"/>
    </w:rPr>
  </w:style>
  <w:style w:type="paragraph" w:styleId="6">
    <w:name w:val="footer"/>
    <w:basedOn w:val="1"/>
    <w:link w:val="13"/>
    <w:unhideWhenUsed/>
    <w:qFormat/>
    <w:uiPriority w:val="99"/>
    <w:pPr>
      <w:widowControl/>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2"/>
    <w:unhideWhenUsed/>
    <w:qFormat/>
    <w:uiPriority w:val="99"/>
    <w:pPr>
      <w:widowControl/>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10">
    <w:name w:val="Strong"/>
    <w:qFormat/>
    <w:uiPriority w:val="0"/>
    <w:rPr>
      <w:b/>
    </w:rPr>
  </w:style>
  <w:style w:type="character" w:customStyle="1" w:styleId="11">
    <w:name w:val="标题 1 Char"/>
    <w:basedOn w:val="9"/>
    <w:link w:val="4"/>
    <w:qFormat/>
    <w:uiPriority w:val="9"/>
    <w:rPr>
      <w:rFonts w:ascii="宋体" w:hAnsi="宋体" w:eastAsia="宋体" w:cs="宋体"/>
      <w:b/>
      <w:bCs/>
      <w:kern w:val="36"/>
      <w:sz w:val="48"/>
      <w:szCs w:val="48"/>
    </w:rPr>
  </w:style>
  <w:style w:type="character" w:customStyle="1" w:styleId="12">
    <w:name w:val="页眉 Char"/>
    <w:basedOn w:val="9"/>
    <w:link w:val="7"/>
    <w:qFormat/>
    <w:uiPriority w:val="99"/>
    <w:rPr>
      <w:sz w:val="18"/>
      <w:szCs w:val="18"/>
    </w:rPr>
  </w:style>
  <w:style w:type="character" w:customStyle="1" w:styleId="13">
    <w:name w:val="页脚 Char"/>
    <w:basedOn w:val="9"/>
    <w:link w:val="6"/>
    <w:qFormat/>
    <w:uiPriority w:val="99"/>
    <w:rPr>
      <w:sz w:val="18"/>
      <w:szCs w:val="18"/>
    </w:rPr>
  </w:style>
  <w:style w:type="paragraph" w:customStyle="1" w:styleId="14">
    <w:name w:val="普通(网站)1"/>
    <w:basedOn w:val="1"/>
    <w:qFormat/>
    <w:uiPriority w:val="0"/>
    <w:pPr>
      <w:spacing w:beforeAutospacing="1" w:afterAutospacing="1"/>
      <w:jc w:val="left"/>
    </w:pPr>
    <w:rPr>
      <w:rFonts w:cs="Times New Roman"/>
      <w:kern w:val="0"/>
      <w:sz w:val="24"/>
    </w:rPr>
  </w:style>
  <w:style w:type="paragraph" w:customStyle="1" w:styleId="15">
    <w:name w:val="_Style 11"/>
    <w:basedOn w:val="1"/>
    <w:qFormat/>
    <w:uiPriority w:val="0"/>
    <w:rPr>
      <w:rFonts w:ascii="Times New Roman" w:hAnsi="Times New Roman" w:cs="Times New Roman"/>
    </w:rPr>
  </w:style>
  <w:style w:type="paragraph" w:styleId="16">
    <w:name w:val="List Paragraph"/>
    <w:basedOn w:val="1"/>
    <w:qFormat/>
    <w:uiPriority w:val="34"/>
    <w:pPr>
      <w:ind w:firstLine="420" w:firstLineChars="200"/>
    </w:pPr>
  </w:style>
  <w:style w:type="character" w:customStyle="1" w:styleId="17">
    <w:name w:val="批注框文本 Char"/>
    <w:basedOn w:val="9"/>
    <w:link w:val="5"/>
    <w:semiHidden/>
    <w:qFormat/>
    <w:uiPriority w:val="99"/>
    <w:rPr>
      <w:rFonts w:ascii="Calibri" w:hAnsi="Calibri" w:eastAsia="宋体" w:cs="黑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131</Words>
  <Characters>752</Characters>
  <Lines>6</Lines>
  <Paragraphs>1</Paragraphs>
  <TotalTime>261</TotalTime>
  <ScaleCrop>false</ScaleCrop>
  <LinksUpToDate>false</LinksUpToDate>
  <CharactersWithSpaces>882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2019-11-19T07:51:00Z</dcterms:created>
  <dc:creator>user09</dc:creator>
  <cp:lastModifiedBy>admin</cp:lastModifiedBy>
  <dcterms:modified xsi:type="dcterms:W3CDTF">2022-02-15T06:28:52Z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80E2342B48CD4FF391DA5BB74C5A5482</vt:lpwstr>
  </property>
</Properties>
</file>